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Permit </w:t>
      </w:r>
      <w:r w:rsidR="002F1914">
        <w:rPr>
          <w:sz w:val="22"/>
          <w:szCs w:val="22"/>
        </w:rPr>
        <w:t>Revision</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2F1914">
        <w:rPr>
          <w:sz w:val="22"/>
          <w:szCs w:val="22"/>
        </w:rPr>
        <w:t>0950137-047</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7F0476" w:rsidRDefault="006F4B83" w:rsidP="004222B6">
      <w:pPr>
        <w:spacing w:before="120" w:after="120"/>
        <w:rPr>
          <w:sz w:val="22"/>
          <w:szCs w:val="22"/>
        </w:rPr>
      </w:pPr>
      <w:r w:rsidRPr="009A5EC0">
        <w:rPr>
          <w:sz w:val="22"/>
          <w:szCs w:val="22"/>
        </w:rPr>
        <w:t xml:space="preserve">The applicant for this project is </w:t>
      </w:r>
      <w:r w:rsidR="002F1914">
        <w:rPr>
          <w:sz w:val="22"/>
          <w:szCs w:val="22"/>
        </w:rPr>
        <w:t>Orlando Utilities Commission</w:t>
      </w:r>
      <w:r w:rsidRPr="009A5EC0">
        <w:rPr>
          <w:sz w:val="22"/>
          <w:szCs w:val="22"/>
        </w:rPr>
        <w:t xml:space="preserve">.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FD39C2" w:rsidRPr="009A5EC0">
        <w:rPr>
          <w:sz w:val="22"/>
          <w:szCs w:val="22"/>
        </w:rPr>
        <w:t xml:space="preserve">:  </w:t>
      </w:r>
      <w:r w:rsidR="002F1914" w:rsidRPr="00007017">
        <w:rPr>
          <w:sz w:val="22"/>
          <w:szCs w:val="22"/>
        </w:rPr>
        <w:t xml:space="preserve">Benjamin Pynes, Plant Manager, Southern Power, </w:t>
      </w:r>
      <w:r w:rsidR="002F1914" w:rsidRPr="0082441D">
        <w:rPr>
          <w:sz w:val="22"/>
          <w:szCs w:val="22"/>
        </w:rPr>
        <w:t>Curtis H. Stanton Energy Center</w:t>
      </w:r>
      <w:r w:rsidR="002F1914">
        <w:rPr>
          <w:sz w:val="22"/>
          <w:szCs w:val="22"/>
        </w:rPr>
        <w:t xml:space="preserve"> (Stanton Plant)</w:t>
      </w:r>
      <w:r w:rsidR="002F1914" w:rsidRPr="007272C3">
        <w:rPr>
          <w:sz w:val="22"/>
          <w:szCs w:val="22"/>
        </w:rPr>
        <w:t xml:space="preserve">, </w:t>
      </w:r>
      <w:r w:rsidR="002F1914" w:rsidRPr="00A852C1">
        <w:rPr>
          <w:sz w:val="22"/>
          <w:szCs w:val="22"/>
        </w:rPr>
        <w:t>5100 South Alafaya Trail, Orlando, Florida</w:t>
      </w:r>
      <w:r w:rsidR="002F1914" w:rsidRPr="00007017">
        <w:rPr>
          <w:sz w:val="22"/>
          <w:szCs w:val="22"/>
        </w:rPr>
        <w:t xml:space="preserve">  </w:t>
      </w:r>
      <w:r w:rsidR="002F1914">
        <w:rPr>
          <w:sz w:val="22"/>
          <w:szCs w:val="22"/>
        </w:rPr>
        <w:t>32831</w:t>
      </w:r>
      <w:r w:rsidR="00FD39C2" w:rsidRPr="009A5EC0">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716246" w:rsidRDefault="000B6156" w:rsidP="001E46FC">
      <w:pPr>
        <w:spacing w:after="120"/>
        <w:rPr>
          <w:sz w:val="22"/>
          <w:szCs w:val="22"/>
        </w:rPr>
      </w:pPr>
      <w:r w:rsidRPr="000B6156">
        <w:rPr>
          <w:sz w:val="22"/>
          <w:szCs w:val="22"/>
        </w:rPr>
        <w:t>The</w:t>
      </w:r>
      <w:r>
        <w:rPr>
          <w:sz w:val="22"/>
          <w:szCs w:val="22"/>
        </w:rPr>
        <w:t xml:space="preserve"> applicant operates the</w:t>
      </w:r>
      <w:r w:rsidR="000358E7">
        <w:rPr>
          <w:sz w:val="22"/>
          <w:szCs w:val="22"/>
        </w:rPr>
        <w:t xml:space="preserve"> existing</w:t>
      </w:r>
      <w:r>
        <w:rPr>
          <w:sz w:val="22"/>
          <w:szCs w:val="22"/>
        </w:rPr>
        <w:t xml:space="preserve"> </w:t>
      </w:r>
      <w:r w:rsidR="002F1914">
        <w:rPr>
          <w:sz w:val="22"/>
          <w:szCs w:val="22"/>
        </w:rPr>
        <w:t>Stanton Plant</w:t>
      </w:r>
      <w:r w:rsidR="005F49A2">
        <w:rPr>
          <w:sz w:val="22"/>
          <w:szCs w:val="22"/>
        </w:rPr>
        <w:t xml:space="preserve">, which is located </w:t>
      </w:r>
      <w:r w:rsidR="00B657B6">
        <w:rPr>
          <w:sz w:val="22"/>
          <w:szCs w:val="22"/>
        </w:rPr>
        <w:t xml:space="preserve">in </w:t>
      </w:r>
      <w:r w:rsidR="002F1914">
        <w:rPr>
          <w:sz w:val="22"/>
          <w:szCs w:val="22"/>
        </w:rPr>
        <w:t>Orange</w:t>
      </w:r>
      <w:r w:rsidR="00B657B6">
        <w:rPr>
          <w:sz w:val="22"/>
          <w:szCs w:val="22"/>
        </w:rPr>
        <w:t xml:space="preserve"> County </w:t>
      </w:r>
      <w:r w:rsidR="005F49A2">
        <w:rPr>
          <w:sz w:val="22"/>
          <w:szCs w:val="22"/>
        </w:rPr>
        <w:t>at</w:t>
      </w:r>
      <w:r w:rsidRPr="000B6156">
        <w:rPr>
          <w:sz w:val="22"/>
          <w:szCs w:val="22"/>
        </w:rPr>
        <w:t xml:space="preserve"> </w:t>
      </w:r>
      <w:r w:rsidR="002F1914" w:rsidRPr="00A852C1">
        <w:rPr>
          <w:sz w:val="22"/>
          <w:szCs w:val="22"/>
        </w:rPr>
        <w:t>5100 South Alafaya Trail, Orlando</w:t>
      </w:r>
      <w:r w:rsidR="003B6C60">
        <w:rPr>
          <w:sz w:val="22"/>
          <w:szCs w:val="22"/>
        </w:rPr>
        <w:t>, Florida.</w:t>
      </w:r>
    </w:p>
    <w:p w:rsidR="002F1914" w:rsidRPr="002F1914" w:rsidRDefault="002F1914" w:rsidP="002F1914">
      <w:pPr>
        <w:spacing w:after="120"/>
        <w:rPr>
          <w:color w:val="000000"/>
          <w:sz w:val="22"/>
          <w:szCs w:val="22"/>
        </w:rPr>
      </w:pPr>
      <w:r w:rsidRPr="002F1914">
        <w:rPr>
          <w:color w:val="000000"/>
          <w:sz w:val="22"/>
          <w:szCs w:val="22"/>
        </w:rPr>
        <w:t>Orlando Utilities Commission (OUC) operates the Curtis H. Stanton Energy Center, which is an existing power plant (SIC No. 4911).  The facility site is located 144 km southeast from the Chassahowitzka National Wildlife Area; the nearest Federal Prevention of Significant Deterioration (PSD) Class I Area.  The placard page above indicates the exact geographical coordinates.</w:t>
      </w:r>
    </w:p>
    <w:p w:rsidR="002F1914" w:rsidRPr="002F1914" w:rsidRDefault="002F1914" w:rsidP="002F1914">
      <w:pPr>
        <w:spacing w:after="120"/>
        <w:rPr>
          <w:color w:val="000000" w:themeColor="text1"/>
          <w:sz w:val="22"/>
        </w:rPr>
      </w:pPr>
      <w:r w:rsidRPr="002F1914">
        <w:rPr>
          <w:color w:val="000000"/>
          <w:sz w:val="22"/>
        </w:rPr>
        <w:t xml:space="preserve">This facility consists of two fossil fuel fired steam electric generating stations, emissions unit (E.U.) identification (ID) No. 001 (Unit No. 1) and 002 (Unit No. 2); also, there are storage and handling facilities for solid fuels, fly ash, limestone, gypsum, slag, and bottom ash.  Unit No. 1 consists of a Babcock and Wilcox boiler/steam generator (Model RB 611) and steam turbine, which drives a generator with a nameplate rating of 468 megawatts (MW).  Unit No. 2 consists of a Babcock and Wilcox boiler/steam generator (Model RB 621) and steam turbine, which drives a generator with a nameplate rating of 468 MW.  Each boiler/steam generator is a wall fired dry bottom unit.  Unit Nos. 1 and 2 are fired with coal.  Each unit has their individual stacks.  Particulate matter emissions generated during the operation of the unit are controlled by a dry electrostatic precipitator (ESP) manufactured by Wheelabrator-Frye Inc.  The control efficiency of the ESP is 99.7%.  </w:t>
      </w:r>
      <w:r w:rsidRPr="002F1914">
        <w:rPr>
          <w:color w:val="000000" w:themeColor="text1"/>
          <w:sz w:val="22"/>
          <w:szCs w:val="22"/>
        </w:rPr>
        <w:t>Units 1 and 2 are each equipped with low NO</w:t>
      </w:r>
      <w:r w:rsidRPr="002F1914">
        <w:rPr>
          <w:color w:val="000000" w:themeColor="text1"/>
          <w:sz w:val="22"/>
          <w:szCs w:val="22"/>
          <w:vertAlign w:val="subscript"/>
        </w:rPr>
        <w:t>X</w:t>
      </w:r>
      <w:r w:rsidRPr="002F1914">
        <w:rPr>
          <w:color w:val="000000" w:themeColor="text1"/>
          <w:sz w:val="22"/>
          <w:szCs w:val="22"/>
        </w:rPr>
        <w:t xml:space="preserve"> burners and overfire air equipment.  The burner design provides accurate fuel-air ratio control and thorough mixing of fuel and air at all ratings.  </w:t>
      </w:r>
      <w:r w:rsidRPr="002F1914">
        <w:rPr>
          <w:sz w:val="22"/>
          <w:szCs w:val="22"/>
        </w:rPr>
        <w:t>Unit 2 is also equipped with a selective catalytic reduction (SCR) system for further control of NO</w:t>
      </w:r>
      <w:r w:rsidRPr="002F1914">
        <w:rPr>
          <w:sz w:val="22"/>
          <w:szCs w:val="22"/>
          <w:vertAlign w:val="subscript"/>
        </w:rPr>
        <w:t>X</w:t>
      </w:r>
      <w:r w:rsidRPr="002F1914">
        <w:rPr>
          <w:sz w:val="22"/>
          <w:szCs w:val="22"/>
        </w:rPr>
        <w:t xml:space="preserve"> emissions.</w:t>
      </w:r>
    </w:p>
    <w:p w:rsidR="002F1914" w:rsidRPr="002F1914" w:rsidRDefault="002F1914" w:rsidP="002F1914">
      <w:pPr>
        <w:spacing w:after="120"/>
        <w:rPr>
          <w:sz w:val="22"/>
        </w:rPr>
      </w:pPr>
      <w:r w:rsidRPr="002F1914">
        <w:rPr>
          <w:sz w:val="22"/>
          <w:szCs w:val="22"/>
        </w:rPr>
        <w:t>Emission Units 001 and 002 are subject to compliance assurance monitoring (CAM) for particulate matter (PM) emissions controlled by an ESP.  Because the continuous opacity monitoring system (COMS) is required to be used at the facility (for Phase II Acid Rain Program purposes), it must also be used as part of the CAM plan.</w:t>
      </w:r>
      <w:r w:rsidRPr="002F1914">
        <w:rPr>
          <w:sz w:val="22"/>
        </w:rPr>
        <w:t xml:space="preserve">  A </w:t>
      </w:r>
      <w:smartTag w:uri="urn:schemas-microsoft-com:office:smarttags" w:element="place">
        <w:r w:rsidRPr="002F1914">
          <w:rPr>
            <w:sz w:val="22"/>
          </w:rPr>
          <w:t>CAM</w:t>
        </w:r>
      </w:smartTag>
      <w:r w:rsidRPr="002F1914">
        <w:rPr>
          <w:sz w:val="22"/>
        </w:rPr>
        <w:t xml:space="preserve"> plan is included for the ESP.  See Appendix </w:t>
      </w:r>
      <w:smartTag w:uri="urn:schemas-microsoft-com:office:smarttags" w:element="place">
        <w:r w:rsidRPr="002F1914">
          <w:rPr>
            <w:sz w:val="22"/>
          </w:rPr>
          <w:t>CAM</w:t>
        </w:r>
      </w:smartTag>
      <w:r w:rsidRPr="002F1914">
        <w:rPr>
          <w:sz w:val="22"/>
        </w:rPr>
        <w:t>.</w:t>
      </w:r>
    </w:p>
    <w:p w:rsidR="002F1914" w:rsidRPr="002F1914" w:rsidRDefault="002F1914" w:rsidP="002F1914">
      <w:pPr>
        <w:spacing w:after="120"/>
        <w:rPr>
          <w:sz w:val="22"/>
        </w:rPr>
      </w:pPr>
      <w:r w:rsidRPr="002F1914">
        <w:rPr>
          <w:sz w:val="22"/>
        </w:rPr>
        <w:t>Emission Units 025 and 026 (Stanton Unit A) are nominal 170 MW, General Electric “F” Class (PG7241FA) combustion turbine-electrical generators, fired with pipeline natural gas or diesel and equipped with evaporative coolers on the inlet air system, two supplementary fired heat recovery steam generators (HRSG), each with a 160 ft. stack, and one steam turbine-electrical generator rated at approximately 300 MW.  Units 25 and 26 have a total nominal capacity of 640 MW and will achieve approximately 700 MW during extreme winter peaking conditions.</w:t>
      </w:r>
    </w:p>
    <w:p w:rsidR="002F1914" w:rsidRPr="002F1914" w:rsidRDefault="002F1914" w:rsidP="002F1914">
      <w:pPr>
        <w:numPr>
          <w:ilvl w:val="12"/>
          <w:numId w:val="0"/>
        </w:numPr>
        <w:spacing w:after="120"/>
        <w:rPr>
          <w:sz w:val="22"/>
        </w:rPr>
      </w:pPr>
      <w:r w:rsidRPr="002F1914">
        <w:rPr>
          <w:sz w:val="22"/>
        </w:rPr>
        <w:t>The combustion turbines are equipped with dry low nitrogen oxides (NO</w:t>
      </w:r>
      <w:r w:rsidRPr="002F1914">
        <w:rPr>
          <w:sz w:val="22"/>
          <w:vertAlign w:val="subscript"/>
        </w:rPr>
        <w:t>X</w:t>
      </w:r>
      <w:r w:rsidRPr="002F1914">
        <w:rPr>
          <w:sz w:val="22"/>
        </w:rPr>
        <w:t>) combustors as well as selective catalytic reduction (SCR) in order to control NO</w:t>
      </w:r>
      <w:r w:rsidRPr="002F1914">
        <w:rPr>
          <w:sz w:val="22"/>
          <w:vertAlign w:val="subscript"/>
        </w:rPr>
        <w:t>X</w:t>
      </w:r>
      <w:r w:rsidRPr="002F1914">
        <w:rPr>
          <w:sz w:val="22"/>
        </w:rPr>
        <w:t xml:space="preserve"> emissions to 3.5 parts per million by volume dry (ppmvd) at 15% oxygen (O</w:t>
      </w:r>
      <w:r w:rsidRPr="002F1914">
        <w:rPr>
          <w:sz w:val="22"/>
          <w:vertAlign w:val="subscript"/>
        </w:rPr>
        <w:t>2</w:t>
      </w:r>
      <w:r w:rsidRPr="002F1914">
        <w:rPr>
          <w:sz w:val="22"/>
        </w:rPr>
        <w:t>) while firing natural gas.  During fuel oil firing, emissions shall be held to 10 ppmvd at 15% O</w:t>
      </w:r>
      <w:r w:rsidRPr="002F1914">
        <w:rPr>
          <w:sz w:val="22"/>
          <w:vertAlign w:val="subscript"/>
        </w:rPr>
        <w:t>2</w:t>
      </w:r>
      <w:r w:rsidRPr="002F1914">
        <w:rPr>
          <w:sz w:val="22"/>
        </w:rPr>
        <w:t xml:space="preserve"> using SCR plus water injection.  Pipeline quality natural gas, 0.05% sulfur, by weight, fuel oil, and good combustion practices shall be employed to control all pollutants.</w:t>
      </w:r>
    </w:p>
    <w:p w:rsidR="002F1914" w:rsidRPr="002F1914" w:rsidRDefault="002F1914" w:rsidP="002F1914">
      <w:pPr>
        <w:tabs>
          <w:tab w:val="left" w:pos="360"/>
          <w:tab w:val="left" w:pos="720"/>
          <w:tab w:val="left" w:pos="1080"/>
          <w:tab w:val="left" w:pos="1440"/>
        </w:tabs>
        <w:spacing w:after="120"/>
        <w:rPr>
          <w:sz w:val="22"/>
          <w:szCs w:val="22"/>
        </w:rPr>
      </w:pPr>
      <w:r w:rsidRPr="002F1914">
        <w:rPr>
          <w:color w:val="000000"/>
          <w:sz w:val="22"/>
        </w:rPr>
        <w:t xml:space="preserve">These emissions units (the combustion turbines) are not subject to continuous assurance monitoring (CAM) because the </w:t>
      </w:r>
      <w:r w:rsidRPr="002F1914">
        <w:rPr>
          <w:sz w:val="22"/>
        </w:rPr>
        <w:t>NO</w:t>
      </w:r>
      <w:r w:rsidRPr="002F1914">
        <w:rPr>
          <w:sz w:val="22"/>
          <w:vertAlign w:val="subscript"/>
        </w:rPr>
        <w:t>X</w:t>
      </w:r>
      <w:r w:rsidRPr="002F1914">
        <w:rPr>
          <w:sz w:val="22"/>
        </w:rPr>
        <w:t xml:space="preserve"> continuous emissions monitoring system (</w:t>
      </w:r>
      <w:r w:rsidRPr="002F1914">
        <w:rPr>
          <w:sz w:val="22"/>
          <w:szCs w:val="22"/>
        </w:rPr>
        <w:t xml:space="preserve">CEMS) is used for continuance compliance determination.  Thus no </w:t>
      </w:r>
      <w:smartTag w:uri="urn:schemas-microsoft-com:office:smarttags" w:element="place">
        <w:r w:rsidRPr="002F1914">
          <w:rPr>
            <w:sz w:val="22"/>
            <w:szCs w:val="22"/>
          </w:rPr>
          <w:t>CAM</w:t>
        </w:r>
      </w:smartTag>
      <w:r w:rsidRPr="002F1914">
        <w:rPr>
          <w:sz w:val="22"/>
          <w:szCs w:val="22"/>
        </w:rPr>
        <w:t xml:space="preserve"> plan is included for these units in this permit.</w:t>
      </w:r>
    </w:p>
    <w:p w:rsidR="002F1914" w:rsidRPr="002F1914" w:rsidRDefault="002F1914" w:rsidP="002F1914">
      <w:pPr>
        <w:tabs>
          <w:tab w:val="left" w:pos="360"/>
          <w:tab w:val="left" w:pos="720"/>
          <w:tab w:val="left" w:pos="1080"/>
          <w:tab w:val="left" w:pos="1440"/>
        </w:tabs>
        <w:spacing w:after="120"/>
        <w:rPr>
          <w:sz w:val="22"/>
          <w:szCs w:val="22"/>
        </w:rPr>
      </w:pPr>
      <w:r w:rsidRPr="002F1914">
        <w:rPr>
          <w:sz w:val="22"/>
          <w:szCs w:val="22"/>
        </w:rPr>
        <w:t xml:space="preserve">Emission Unit 037 (Stanton Unit B) consists of:  one nominal 150 megawatts (MW) General Electric 7241 FA combustion turbine-electrical generator (CTG); a supplementary fired heat recovery steam generator (HRSG) with natural gas fueled duct burners; a nominal 150 MW steam turbine generator (STG); and auxiliary equipment.  The </w:t>
      </w:r>
      <w:r w:rsidRPr="002F1914">
        <w:rPr>
          <w:sz w:val="22"/>
          <w:szCs w:val="22"/>
        </w:rPr>
        <w:lastRenderedPageBreak/>
        <w:t xml:space="preserve">unit includes highly automated controls, described as the GE Mark VI Gas Turbine Control System to fulfill all of the gas turbine control requirements. </w:t>
      </w:r>
    </w:p>
    <w:p w:rsidR="002F1914" w:rsidRPr="002F1914" w:rsidRDefault="002F1914" w:rsidP="002F1914">
      <w:pPr>
        <w:numPr>
          <w:ilvl w:val="12"/>
          <w:numId w:val="0"/>
        </w:numPr>
        <w:spacing w:after="120"/>
        <w:rPr>
          <w:sz w:val="22"/>
          <w:szCs w:val="22"/>
          <w:u w:val="double"/>
        </w:rPr>
      </w:pPr>
      <w:r w:rsidRPr="002F1914">
        <w:rPr>
          <w:sz w:val="22"/>
          <w:szCs w:val="22"/>
        </w:rPr>
        <w:t>Unit B is equipped with dry low nitrogen oxides (NO</w:t>
      </w:r>
      <w:r w:rsidRPr="002F1914">
        <w:rPr>
          <w:sz w:val="22"/>
          <w:szCs w:val="22"/>
          <w:vertAlign w:val="subscript"/>
        </w:rPr>
        <w:t>X</w:t>
      </w:r>
      <w:r w:rsidRPr="002F1914">
        <w:rPr>
          <w:sz w:val="22"/>
          <w:szCs w:val="22"/>
        </w:rPr>
        <w:t>) combustors as well as selective catalytic reduction (SCR) in order to control NO</w:t>
      </w:r>
      <w:r w:rsidRPr="002F1914">
        <w:rPr>
          <w:sz w:val="22"/>
          <w:szCs w:val="22"/>
          <w:vertAlign w:val="subscript"/>
        </w:rPr>
        <w:t>X</w:t>
      </w:r>
      <w:r w:rsidRPr="002F1914">
        <w:rPr>
          <w:sz w:val="22"/>
          <w:szCs w:val="22"/>
        </w:rPr>
        <w:t xml:space="preserve"> emissions to 2 parts per million by volume dry (ppmvd) at 15% oxygen (O</w:t>
      </w:r>
      <w:r w:rsidRPr="002F1914">
        <w:rPr>
          <w:sz w:val="22"/>
          <w:szCs w:val="22"/>
          <w:vertAlign w:val="subscript"/>
        </w:rPr>
        <w:t>2</w:t>
      </w:r>
      <w:r w:rsidRPr="002F1914">
        <w:rPr>
          <w:sz w:val="22"/>
          <w:szCs w:val="22"/>
        </w:rPr>
        <w:t>) while firing natural gas.  During fuel oil firing, emissions shall be held to 8 ppmvd at 15% O</w:t>
      </w:r>
      <w:r w:rsidRPr="002F1914">
        <w:rPr>
          <w:sz w:val="22"/>
          <w:szCs w:val="22"/>
          <w:vertAlign w:val="subscript"/>
        </w:rPr>
        <w:t>2</w:t>
      </w:r>
      <w:r w:rsidRPr="002F1914">
        <w:rPr>
          <w:sz w:val="22"/>
          <w:szCs w:val="22"/>
        </w:rPr>
        <w:t xml:space="preserve"> using SCR plus water injection.  Pipeline quality natural gas, 0.0015% sulfur, by weight, fuel oil, and good combustion practices shall be employed to control all pollutants.</w:t>
      </w:r>
    </w:p>
    <w:p w:rsidR="002F1914" w:rsidRPr="002F1914" w:rsidRDefault="002F1914" w:rsidP="002F1914">
      <w:pPr>
        <w:tabs>
          <w:tab w:val="left" w:pos="360"/>
          <w:tab w:val="left" w:pos="720"/>
          <w:tab w:val="left" w:pos="1080"/>
          <w:tab w:val="left" w:pos="1440"/>
        </w:tabs>
        <w:spacing w:after="120"/>
        <w:rPr>
          <w:sz w:val="22"/>
          <w:szCs w:val="22"/>
        </w:rPr>
      </w:pPr>
      <w:r w:rsidRPr="002F1914">
        <w:rPr>
          <w:sz w:val="22"/>
          <w:szCs w:val="22"/>
        </w:rPr>
        <w:t>Unit B is not subject to continuous assurance monitoring (CAM) because the NO</w:t>
      </w:r>
      <w:r w:rsidRPr="002F1914">
        <w:rPr>
          <w:sz w:val="22"/>
          <w:szCs w:val="22"/>
          <w:vertAlign w:val="subscript"/>
        </w:rPr>
        <w:t>X</w:t>
      </w:r>
      <w:r w:rsidRPr="002F1914">
        <w:rPr>
          <w:sz w:val="22"/>
          <w:szCs w:val="22"/>
        </w:rPr>
        <w:t xml:space="preserve"> continuous emissions monitoring system (CEMS) is used for continuance compliance determination.  Thus no CAM plan is included for this unit in this permit.</w:t>
      </w:r>
    </w:p>
    <w:p w:rsidR="00174CFF" w:rsidRPr="00D17BFF" w:rsidRDefault="00D17BFF" w:rsidP="00D17BFF">
      <w:pPr>
        <w:spacing w:before="120" w:after="120"/>
        <w:rPr>
          <w:b/>
          <w:caps/>
          <w:sz w:val="22"/>
          <w:szCs w:val="22"/>
          <w:highlight w:val="green"/>
        </w:rPr>
      </w:pPr>
      <w:r w:rsidRPr="002F1914">
        <w:rPr>
          <w:b/>
          <w:caps/>
          <w:sz w:val="22"/>
          <w:szCs w:val="22"/>
        </w:rPr>
        <w:t xml:space="preserve">regulated </w:t>
      </w:r>
      <w:r w:rsidR="00174CFF" w:rsidRPr="002F1914">
        <w:rPr>
          <w:b/>
          <w:caps/>
          <w:sz w:val="22"/>
          <w:szCs w:val="22"/>
        </w:rPr>
        <w:t>Emissions Unit ID</w:t>
      </w:r>
      <w:r w:rsidRPr="002F1914">
        <w:rPr>
          <w:b/>
          <w:caps/>
          <w:sz w:val="22"/>
          <w:szCs w:val="22"/>
        </w:rPr>
        <w:t>entification</w:t>
      </w:r>
      <w:r w:rsidR="00174CFF" w:rsidRPr="002F1914">
        <w:rPr>
          <w:b/>
          <w:caps/>
          <w:sz w:val="22"/>
          <w:szCs w:val="22"/>
        </w:rPr>
        <w:t xml:space="preserve"> Numbers and </w:t>
      </w:r>
      <w:r w:rsidRPr="002F1914">
        <w:rPr>
          <w:b/>
          <w:caps/>
          <w:sz w:val="22"/>
          <w:szCs w:val="22"/>
        </w:rPr>
        <w:t>descriptions</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2F1914" w:rsidRPr="00424615" w:rsidTr="00E70FBC">
        <w:trPr>
          <w:tblHeader/>
        </w:trPr>
        <w:tc>
          <w:tcPr>
            <w:tcW w:w="1016" w:type="dxa"/>
            <w:tcBorders>
              <w:top w:val="single" w:sz="12" w:space="0" w:color="auto"/>
              <w:bottom w:val="single" w:sz="12" w:space="0" w:color="auto"/>
            </w:tcBorders>
            <w:vAlign w:val="center"/>
          </w:tcPr>
          <w:p w:rsidR="002F1914" w:rsidRPr="00424615" w:rsidRDefault="002F1914" w:rsidP="002F1914">
            <w:pPr>
              <w:jc w:val="center"/>
              <w:rPr>
                <w:b/>
              </w:rPr>
            </w:pPr>
            <w:r w:rsidRPr="00424615">
              <w:rPr>
                <w:b/>
              </w:rPr>
              <w:t>EU No.</w:t>
            </w:r>
          </w:p>
        </w:tc>
        <w:tc>
          <w:tcPr>
            <w:tcW w:w="8938" w:type="dxa"/>
            <w:tcBorders>
              <w:top w:val="single" w:sz="12" w:space="0" w:color="auto"/>
              <w:bottom w:val="single" w:sz="12" w:space="0" w:color="auto"/>
            </w:tcBorders>
            <w:vAlign w:val="center"/>
          </w:tcPr>
          <w:p w:rsidR="002F1914" w:rsidRPr="00424615" w:rsidRDefault="002F1914" w:rsidP="002F1914">
            <w:pPr>
              <w:keepNext/>
              <w:outlineLvl w:val="1"/>
              <w:rPr>
                <w:b/>
              </w:rPr>
            </w:pPr>
            <w:r w:rsidRPr="00424615">
              <w:rPr>
                <w:b/>
              </w:rPr>
              <w:t>Brief Description</w:t>
            </w:r>
          </w:p>
        </w:tc>
      </w:tr>
      <w:tr w:rsidR="002F1914" w:rsidRPr="00424615" w:rsidTr="00E70FBC">
        <w:tc>
          <w:tcPr>
            <w:tcW w:w="9954" w:type="dxa"/>
            <w:gridSpan w:val="2"/>
            <w:tcBorders>
              <w:top w:val="single" w:sz="12" w:space="0" w:color="auto"/>
              <w:bottom w:val="single" w:sz="8" w:space="0" w:color="auto"/>
            </w:tcBorders>
          </w:tcPr>
          <w:p w:rsidR="002F1914" w:rsidRPr="00424615" w:rsidRDefault="002F1914" w:rsidP="002F1914">
            <w:pPr>
              <w:rPr>
                <w:i/>
              </w:rPr>
            </w:pPr>
            <w:r w:rsidRPr="00424615">
              <w:rPr>
                <w:i/>
              </w:rPr>
              <w:t>Regulated Emissions Units</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001</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Fossil Fuel Fired Steam Electric Generator No. 1</w:t>
            </w:r>
            <w:r w:rsidR="002B0F67" w:rsidRPr="00424615">
              <w:rPr>
                <w:color w:val="000000"/>
              </w:rPr>
              <w:t xml:space="preserve"> (FFSG 1)</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002</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Fossil Fuel Fired Steam Electric Generator No. 2</w:t>
            </w:r>
            <w:r w:rsidR="008E4B8E" w:rsidRPr="00424615">
              <w:rPr>
                <w:color w:val="000000"/>
              </w:rPr>
              <w:t xml:space="preserve"> (FFSG 2)</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tabs>
                <w:tab w:val="left" w:pos="720"/>
              </w:tabs>
              <w:jc w:val="center"/>
              <w:rPr>
                <w:color w:val="000000"/>
              </w:rPr>
            </w:pPr>
            <w:r w:rsidRPr="00424615">
              <w:rPr>
                <w:color w:val="000000"/>
              </w:rPr>
              <w:t>004</w:t>
            </w:r>
          </w:p>
        </w:tc>
        <w:tc>
          <w:tcPr>
            <w:tcW w:w="8938" w:type="dxa"/>
            <w:tcBorders>
              <w:top w:val="single" w:sz="8" w:space="0" w:color="auto"/>
              <w:bottom w:val="single" w:sz="8" w:space="0" w:color="auto"/>
            </w:tcBorders>
          </w:tcPr>
          <w:p w:rsidR="002F1914" w:rsidRPr="00424615" w:rsidRDefault="002F1914" w:rsidP="002F1914">
            <w:pPr>
              <w:tabs>
                <w:tab w:val="left" w:pos="720"/>
              </w:tabs>
              <w:rPr>
                <w:color w:val="000000"/>
              </w:rPr>
            </w:pPr>
            <w:r w:rsidRPr="00424615">
              <w:rPr>
                <w:color w:val="000000"/>
              </w:rPr>
              <w:t>Coal Transfer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005</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Coal Crusher Building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006</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Coal Plant Transfer and Silo Fill Area #1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007</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Coal Plant Transfer and Silo Fill Area #2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008</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Limestone Day Bin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009</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Pebble Lime Receiving Hopper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010</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Coal Reclaim Hopper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011</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Flyash Exhauster Filter #1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012</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Flyash Exhauster Filter #2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013</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Flyash Exhauster Filter #3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014</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Flyash Exhauster Filter #4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015</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Flyash Silo Bin Vent Filter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016</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Adipic Acid Storage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pPr>
            <w:r w:rsidRPr="00424615">
              <w:t>021</w:t>
            </w:r>
          </w:p>
        </w:tc>
        <w:tc>
          <w:tcPr>
            <w:tcW w:w="8938" w:type="dxa"/>
            <w:tcBorders>
              <w:top w:val="single" w:sz="8" w:space="0" w:color="auto"/>
              <w:bottom w:val="single" w:sz="8" w:space="0" w:color="auto"/>
            </w:tcBorders>
          </w:tcPr>
          <w:p w:rsidR="002F1914" w:rsidRPr="00424615" w:rsidRDefault="002F1914" w:rsidP="002F1914">
            <w:r w:rsidRPr="00424615">
              <w:t>Surface Coating and Solvent Cleaning</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pPr>
            <w:r w:rsidRPr="00424615">
              <w:t>024</w:t>
            </w:r>
          </w:p>
        </w:tc>
        <w:tc>
          <w:tcPr>
            <w:tcW w:w="8938" w:type="dxa"/>
            <w:tcBorders>
              <w:top w:val="single" w:sz="8" w:space="0" w:color="auto"/>
              <w:bottom w:val="single" w:sz="8" w:space="0" w:color="auto"/>
            </w:tcBorders>
          </w:tcPr>
          <w:p w:rsidR="002F1914" w:rsidRPr="00424615" w:rsidRDefault="002F1914" w:rsidP="002F1914">
            <w:r w:rsidRPr="00424615">
              <w:t>3,740 BHP Emergency Generator</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025</w:t>
            </w:r>
          </w:p>
        </w:tc>
        <w:tc>
          <w:tcPr>
            <w:tcW w:w="8938" w:type="dxa"/>
            <w:tcBorders>
              <w:top w:val="single" w:sz="8" w:space="0" w:color="auto"/>
              <w:bottom w:val="single" w:sz="8" w:space="0" w:color="auto"/>
            </w:tcBorders>
          </w:tcPr>
          <w:p w:rsidR="002F1914" w:rsidRPr="00424615" w:rsidRDefault="002F1914" w:rsidP="002F1914">
            <w:r w:rsidRPr="00424615">
              <w:t>Stanton Unit A- Combined-Cycle Combustion Turbine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026</w:t>
            </w:r>
          </w:p>
        </w:tc>
        <w:tc>
          <w:tcPr>
            <w:tcW w:w="8938" w:type="dxa"/>
            <w:tcBorders>
              <w:top w:val="single" w:sz="8" w:space="0" w:color="auto"/>
              <w:bottom w:val="single" w:sz="8" w:space="0" w:color="auto"/>
            </w:tcBorders>
          </w:tcPr>
          <w:p w:rsidR="002F1914" w:rsidRPr="00424615" w:rsidRDefault="002F1914" w:rsidP="002F1914">
            <w:r w:rsidRPr="00424615">
              <w:t>Stanton Unit A- Combined-Cycle Combustion Turbine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029</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Flyash Silo Bin Vent Filter Baghouse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pPr>
            <w:r w:rsidRPr="00424615">
              <w:t>037</w:t>
            </w:r>
          </w:p>
        </w:tc>
        <w:tc>
          <w:tcPr>
            <w:tcW w:w="8938" w:type="dxa"/>
            <w:tcBorders>
              <w:top w:val="single" w:sz="8" w:space="0" w:color="auto"/>
              <w:bottom w:val="single" w:sz="8" w:space="0" w:color="auto"/>
            </w:tcBorders>
          </w:tcPr>
          <w:p w:rsidR="002F1914" w:rsidRPr="00424615" w:rsidRDefault="002F1914" w:rsidP="002F1914">
            <w:r w:rsidRPr="00424615">
              <w:t>Stanton Unit B - 300 MW Combined Cycle Combustion Turbine</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pPr>
            <w:r w:rsidRPr="00424615">
              <w:t>038</w:t>
            </w:r>
          </w:p>
        </w:tc>
        <w:tc>
          <w:tcPr>
            <w:tcW w:w="8938" w:type="dxa"/>
            <w:tcBorders>
              <w:top w:val="single" w:sz="8" w:space="0" w:color="auto"/>
              <w:bottom w:val="single" w:sz="8" w:space="0" w:color="auto"/>
            </w:tcBorders>
          </w:tcPr>
          <w:p w:rsidR="002F1914" w:rsidRPr="00424615" w:rsidRDefault="002F1914" w:rsidP="002F1914">
            <w:r w:rsidRPr="00424615">
              <w:t xml:space="preserve">Stanton Unit B - Cooling Tower </w:t>
            </w:r>
          </w:p>
        </w:tc>
      </w:tr>
      <w:tr w:rsidR="002F1914" w:rsidRPr="00424615" w:rsidTr="00E70FBC">
        <w:tc>
          <w:tcPr>
            <w:tcW w:w="1016" w:type="dxa"/>
            <w:tcBorders>
              <w:top w:val="single" w:sz="8" w:space="0" w:color="auto"/>
              <w:bottom w:val="single" w:sz="8" w:space="0" w:color="auto"/>
            </w:tcBorders>
          </w:tcPr>
          <w:p w:rsidR="002F1914" w:rsidRPr="00424615" w:rsidRDefault="002F1914" w:rsidP="002F1914">
            <w:pPr>
              <w:jc w:val="center"/>
              <w:rPr>
                <w:color w:val="000000"/>
              </w:rPr>
            </w:pPr>
            <w:r w:rsidRPr="00424615">
              <w:rPr>
                <w:color w:val="000000"/>
              </w:rPr>
              <w:t>041</w:t>
            </w:r>
          </w:p>
        </w:tc>
        <w:tc>
          <w:tcPr>
            <w:tcW w:w="8938" w:type="dxa"/>
            <w:tcBorders>
              <w:top w:val="single" w:sz="8" w:space="0" w:color="auto"/>
              <w:bottom w:val="single" w:sz="8" w:space="0" w:color="auto"/>
            </w:tcBorders>
          </w:tcPr>
          <w:p w:rsidR="002F1914" w:rsidRPr="00424615" w:rsidRDefault="002F1914" w:rsidP="002F1914">
            <w:pPr>
              <w:rPr>
                <w:color w:val="000000"/>
              </w:rPr>
            </w:pPr>
            <w:r w:rsidRPr="00424615">
              <w:rPr>
                <w:color w:val="000000"/>
              </w:rPr>
              <w:t>563 kW Emergency Generator at the Stanton A Plant Site</w:t>
            </w:r>
          </w:p>
        </w:tc>
      </w:tr>
      <w:tr w:rsidR="002F1914" w:rsidRPr="00424615" w:rsidTr="00E70FBC">
        <w:tc>
          <w:tcPr>
            <w:tcW w:w="1016" w:type="dxa"/>
            <w:tcBorders>
              <w:top w:val="single" w:sz="8" w:space="0" w:color="auto"/>
              <w:bottom w:val="single" w:sz="12" w:space="0" w:color="auto"/>
            </w:tcBorders>
          </w:tcPr>
          <w:p w:rsidR="002F1914" w:rsidRPr="00424615" w:rsidRDefault="002F1914" w:rsidP="002F1914">
            <w:pPr>
              <w:jc w:val="center"/>
              <w:rPr>
                <w:color w:val="000000"/>
              </w:rPr>
            </w:pPr>
            <w:r w:rsidRPr="00424615">
              <w:rPr>
                <w:color w:val="000000"/>
              </w:rPr>
              <w:t>044</w:t>
            </w:r>
          </w:p>
        </w:tc>
        <w:tc>
          <w:tcPr>
            <w:tcW w:w="8938" w:type="dxa"/>
            <w:tcBorders>
              <w:top w:val="single" w:sz="8" w:space="0" w:color="auto"/>
              <w:bottom w:val="single" w:sz="12" w:space="0" w:color="auto"/>
            </w:tcBorders>
          </w:tcPr>
          <w:p w:rsidR="002F1914" w:rsidRPr="00424615" w:rsidRDefault="002F1914" w:rsidP="002F1914">
            <w:pPr>
              <w:rPr>
                <w:color w:val="000000"/>
              </w:rPr>
            </w:pPr>
            <w:r w:rsidRPr="00424615">
              <w:t>Emergency Fire Pump Engines</w:t>
            </w:r>
          </w:p>
        </w:tc>
      </w:tr>
    </w:tbl>
    <w:p w:rsidR="00424615" w:rsidRDefault="00424615">
      <w:pPr>
        <w:rPr>
          <w:b/>
          <w:caps/>
          <w:sz w:val="22"/>
          <w:szCs w:val="22"/>
        </w:rPr>
      </w:pPr>
      <w:r>
        <w:rPr>
          <w:b/>
          <w:caps/>
          <w:sz w:val="22"/>
          <w:szCs w:val="22"/>
        </w:rPr>
        <w:br w:type="page"/>
      </w:r>
    </w:p>
    <w:p w:rsidR="00973148" w:rsidRPr="00973148" w:rsidRDefault="00973148" w:rsidP="00973148">
      <w:pPr>
        <w:spacing w:before="120" w:after="120"/>
        <w:rPr>
          <w:b/>
          <w:caps/>
          <w:sz w:val="22"/>
          <w:szCs w:val="22"/>
        </w:rPr>
      </w:pPr>
      <w:r w:rsidRPr="006F56CD">
        <w:rPr>
          <w:b/>
          <w:caps/>
          <w:sz w:val="22"/>
          <w:szCs w:val="22"/>
        </w:rPr>
        <w:lastRenderedPageBreak/>
        <w:t>Applicable Regulations</w:t>
      </w:r>
    </w:p>
    <w:p w:rsidR="00973148" w:rsidRPr="00C01B12" w:rsidRDefault="006F56CD" w:rsidP="00973148">
      <w:pPr>
        <w:pStyle w:val="BodyText3"/>
        <w:rPr>
          <w:sz w:val="22"/>
          <w:szCs w:val="22"/>
        </w:rPr>
      </w:pPr>
      <w:r w:rsidRPr="006F56CD">
        <w:rPr>
          <w:sz w:val="22"/>
          <w:szCs w:val="22"/>
        </w:rPr>
        <w:t>Based on the Title V Air Operation Revision application received on April 21, 2016, this facility is a major source of hazardous air pollutants (HAP).</w:t>
      </w:r>
      <w:r w:rsidR="00973148">
        <w:rPr>
          <w:sz w:val="22"/>
          <w:szCs w:val="22"/>
        </w:rPr>
        <w:t xml:space="preserve">  </w:t>
      </w:r>
      <w:r w:rsidR="00973148" w:rsidRPr="006F56CD">
        <w:rPr>
          <w:sz w:val="22"/>
          <w:szCs w:val="22"/>
        </w:rPr>
        <w:t>The existing facility is a prevention of significant deterioration (PSD) major source of air pollutants in accordance with Rule 62-212.400, F.A.C.</w:t>
      </w:r>
      <w:r w:rsidR="00973148" w:rsidRPr="00C01B12">
        <w:rPr>
          <w:sz w:val="22"/>
          <w:szCs w:val="22"/>
        </w:rPr>
        <w:t xml:space="preserve">  A summary of applicable regulations is shown in the following table</w:t>
      </w:r>
      <w:r w:rsidR="00973148">
        <w:rPr>
          <w:sz w:val="22"/>
          <w:szCs w:val="22"/>
        </w:rPr>
        <w:t>:</w:t>
      </w:r>
      <w:r w:rsidR="00973148" w:rsidRPr="00C01B12">
        <w:rPr>
          <w:sz w:val="22"/>
          <w:szCs w:val="22"/>
        </w:rPr>
        <w:t xml:space="preserve">  </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6F56CD" w:rsidRPr="00424615" w:rsidTr="00E70FBC">
        <w:trPr>
          <w:tblHeader/>
        </w:trPr>
        <w:tc>
          <w:tcPr>
            <w:tcW w:w="6894" w:type="dxa"/>
            <w:tcBorders>
              <w:top w:val="single" w:sz="12" w:space="0" w:color="auto"/>
              <w:bottom w:val="single" w:sz="12" w:space="0" w:color="auto"/>
            </w:tcBorders>
          </w:tcPr>
          <w:p w:rsidR="006F56CD" w:rsidRPr="00424615" w:rsidRDefault="006F56CD" w:rsidP="006F56CD">
            <w:pPr>
              <w:rPr>
                <w:b/>
              </w:rPr>
            </w:pPr>
            <w:r w:rsidRPr="00424615">
              <w:rPr>
                <w:b/>
              </w:rPr>
              <w:t>Regulation</w:t>
            </w:r>
          </w:p>
        </w:tc>
        <w:tc>
          <w:tcPr>
            <w:tcW w:w="3060" w:type="dxa"/>
            <w:tcBorders>
              <w:top w:val="single" w:sz="12" w:space="0" w:color="auto"/>
              <w:bottom w:val="single" w:sz="12" w:space="0" w:color="auto"/>
            </w:tcBorders>
          </w:tcPr>
          <w:p w:rsidR="006F56CD" w:rsidRPr="00424615" w:rsidRDefault="006F56CD" w:rsidP="006F56CD">
            <w:pPr>
              <w:keepNext/>
              <w:jc w:val="center"/>
              <w:outlineLvl w:val="1"/>
              <w:rPr>
                <w:b/>
              </w:rPr>
            </w:pPr>
            <w:r w:rsidRPr="00424615">
              <w:rPr>
                <w:b/>
              </w:rPr>
              <w:t>EU No(s).</w:t>
            </w:r>
          </w:p>
        </w:tc>
      </w:tr>
      <w:tr w:rsidR="006F56CD" w:rsidRPr="00424615" w:rsidTr="00E70FBC">
        <w:tc>
          <w:tcPr>
            <w:tcW w:w="9954" w:type="dxa"/>
            <w:gridSpan w:val="2"/>
            <w:tcBorders>
              <w:top w:val="single" w:sz="12" w:space="0" w:color="auto"/>
              <w:bottom w:val="single" w:sz="8" w:space="0" w:color="auto"/>
            </w:tcBorders>
          </w:tcPr>
          <w:p w:rsidR="006F56CD" w:rsidRPr="00424615" w:rsidRDefault="006F56CD" w:rsidP="006F56CD">
            <w:pPr>
              <w:jc w:val="center"/>
              <w:rPr>
                <w:i/>
              </w:rPr>
            </w:pPr>
            <w:r w:rsidRPr="00424615">
              <w:rPr>
                <w:i/>
              </w:rPr>
              <w:t>Federal Rule Citations</w:t>
            </w:r>
          </w:p>
        </w:tc>
      </w:tr>
      <w:tr w:rsidR="006F56CD" w:rsidRPr="00424615" w:rsidTr="00E70FBC">
        <w:tc>
          <w:tcPr>
            <w:tcW w:w="6894" w:type="dxa"/>
            <w:tcBorders>
              <w:top w:val="single" w:sz="8" w:space="0" w:color="auto"/>
              <w:left w:val="single" w:sz="12" w:space="0" w:color="auto"/>
              <w:bottom w:val="single" w:sz="8" w:space="0" w:color="auto"/>
              <w:right w:val="single" w:sz="12" w:space="0" w:color="auto"/>
            </w:tcBorders>
          </w:tcPr>
          <w:p w:rsidR="006F56CD" w:rsidRPr="00424615" w:rsidRDefault="006F56CD" w:rsidP="006F56CD">
            <w:pPr>
              <w:rPr>
                <w:i/>
              </w:rPr>
            </w:pPr>
            <w:r w:rsidRPr="00424615">
              <w:t>40 CFR 60, Subpart A, NSPS General Provisions</w:t>
            </w:r>
          </w:p>
        </w:tc>
        <w:tc>
          <w:tcPr>
            <w:tcW w:w="3060" w:type="dxa"/>
            <w:tcBorders>
              <w:top w:val="single" w:sz="8" w:space="0" w:color="auto"/>
              <w:left w:val="single" w:sz="12" w:space="0" w:color="auto"/>
              <w:bottom w:val="single" w:sz="8" w:space="0" w:color="auto"/>
              <w:right w:val="single" w:sz="12" w:space="0" w:color="auto"/>
            </w:tcBorders>
            <w:vAlign w:val="center"/>
          </w:tcPr>
          <w:p w:rsidR="006F56CD" w:rsidRPr="00424615" w:rsidRDefault="006F56CD" w:rsidP="006F56CD">
            <w:pPr>
              <w:keepNext/>
              <w:jc w:val="center"/>
              <w:outlineLvl w:val="1"/>
            </w:pPr>
            <w:r w:rsidRPr="00424615">
              <w:t>001, 002, 025, 026</w:t>
            </w: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r w:rsidRPr="00424615">
              <w:rPr>
                <w:color w:val="000000"/>
              </w:rPr>
              <w:t>40 CFR 60, Subpart Da, Standards of Performance for Fossil-Fuel Fired Steam Generators</w:t>
            </w:r>
          </w:p>
        </w:tc>
        <w:tc>
          <w:tcPr>
            <w:tcW w:w="3060" w:type="dxa"/>
            <w:tcBorders>
              <w:top w:val="single" w:sz="8" w:space="0" w:color="auto"/>
              <w:bottom w:val="single" w:sz="8" w:space="0" w:color="auto"/>
            </w:tcBorders>
            <w:vAlign w:val="center"/>
          </w:tcPr>
          <w:p w:rsidR="006F56CD" w:rsidRPr="00424615" w:rsidRDefault="006F56CD" w:rsidP="006F56CD">
            <w:pPr>
              <w:keepNext/>
              <w:jc w:val="center"/>
              <w:outlineLvl w:val="1"/>
            </w:pPr>
            <w:r w:rsidRPr="00424615">
              <w:t>001, 002</w:t>
            </w:r>
          </w:p>
        </w:tc>
      </w:tr>
      <w:tr w:rsidR="006F56CD" w:rsidRPr="00424615" w:rsidTr="00E70FBC">
        <w:tc>
          <w:tcPr>
            <w:tcW w:w="6894" w:type="dxa"/>
          </w:tcPr>
          <w:p w:rsidR="006F56CD" w:rsidRPr="00424615" w:rsidRDefault="006F56CD" w:rsidP="006F56CD">
            <w:pPr>
              <w:rPr>
                <w:highlight w:val="yellow"/>
              </w:rPr>
            </w:pPr>
            <w:r w:rsidRPr="00424615">
              <w:t>NSPS - 40 CFR 60, Subpart GG, Standards of Performance for Stationary Gas Turbines, adopted and incorporated by reference in Rule 62-204.800</w:t>
            </w:r>
          </w:p>
        </w:tc>
        <w:tc>
          <w:tcPr>
            <w:tcW w:w="3060" w:type="dxa"/>
            <w:vAlign w:val="center"/>
          </w:tcPr>
          <w:p w:rsidR="006F56CD" w:rsidRPr="00424615" w:rsidRDefault="006F56CD" w:rsidP="006F56CD">
            <w:pPr>
              <w:jc w:val="center"/>
            </w:pPr>
            <w:r w:rsidRPr="00424615">
              <w:t>025, 026</w:t>
            </w:r>
          </w:p>
        </w:tc>
      </w:tr>
      <w:tr w:rsidR="006F56CD" w:rsidRPr="00424615" w:rsidTr="00E70FBC">
        <w:tc>
          <w:tcPr>
            <w:tcW w:w="6894" w:type="dxa"/>
          </w:tcPr>
          <w:p w:rsidR="006F56CD" w:rsidRPr="00424615" w:rsidRDefault="006F56CD" w:rsidP="006F56CD">
            <w:r w:rsidRPr="00424615">
              <w:t xml:space="preserve">NSPS - 40 CFR 60, Subpart KKKK, </w:t>
            </w:r>
            <w:r w:rsidRPr="00424615">
              <w:rPr>
                <w:iCs/>
              </w:rPr>
              <w:t xml:space="preserve">Standards of Performance for Stationary Combustion Turbines that Commence Construction after February 18, 2005, </w:t>
            </w:r>
            <w:r w:rsidRPr="00424615">
              <w:t>adopted and incorporated by reference in Rule 62-204.800</w:t>
            </w:r>
          </w:p>
        </w:tc>
        <w:tc>
          <w:tcPr>
            <w:tcW w:w="3060" w:type="dxa"/>
            <w:vAlign w:val="center"/>
          </w:tcPr>
          <w:p w:rsidR="006F56CD" w:rsidRPr="00424615" w:rsidRDefault="006F56CD" w:rsidP="006F56CD">
            <w:pPr>
              <w:jc w:val="center"/>
            </w:pPr>
            <w:r w:rsidRPr="00424615">
              <w:t>037</w:t>
            </w:r>
          </w:p>
        </w:tc>
      </w:tr>
      <w:tr w:rsidR="006F56CD" w:rsidRPr="00424615" w:rsidTr="00E70FBC">
        <w:tc>
          <w:tcPr>
            <w:tcW w:w="6894" w:type="dxa"/>
          </w:tcPr>
          <w:p w:rsidR="006F56CD" w:rsidRPr="00424615" w:rsidRDefault="006F56CD" w:rsidP="006F56CD">
            <w:r w:rsidRPr="00424615">
              <w:t xml:space="preserve">40 CFR 60, Subpart Y, </w:t>
            </w:r>
            <w:r w:rsidRPr="00424615">
              <w:rPr>
                <w:bCs/>
              </w:rPr>
              <w:t>Standards of Performance for Coal Preparation Plants</w:t>
            </w:r>
          </w:p>
        </w:tc>
        <w:tc>
          <w:tcPr>
            <w:tcW w:w="3060" w:type="dxa"/>
            <w:vAlign w:val="center"/>
          </w:tcPr>
          <w:p w:rsidR="006F56CD" w:rsidRPr="00424615" w:rsidRDefault="006F56CD" w:rsidP="006F56CD">
            <w:pPr>
              <w:jc w:val="center"/>
            </w:pPr>
            <w:r w:rsidRPr="00424615">
              <w:t>004 through 016 and 029</w:t>
            </w:r>
          </w:p>
        </w:tc>
      </w:tr>
      <w:tr w:rsidR="006F56CD" w:rsidRPr="00424615" w:rsidTr="00E70FBC">
        <w:tc>
          <w:tcPr>
            <w:tcW w:w="6894" w:type="dxa"/>
          </w:tcPr>
          <w:p w:rsidR="006F56CD" w:rsidRPr="00424615" w:rsidRDefault="006F56CD" w:rsidP="006F56CD">
            <w:r w:rsidRPr="00424615">
              <w:t xml:space="preserve">40 CFR 60, Subpart IIII, </w:t>
            </w:r>
            <w:r w:rsidRPr="00424615">
              <w:rPr>
                <w:kern w:val="36"/>
                <w:lang w:val="en"/>
              </w:rPr>
              <w:t>Standards of Performance for Stationary Compression Ignition Internal Combustion Engines</w:t>
            </w:r>
          </w:p>
        </w:tc>
        <w:tc>
          <w:tcPr>
            <w:tcW w:w="3060" w:type="dxa"/>
            <w:vAlign w:val="center"/>
          </w:tcPr>
          <w:p w:rsidR="006F56CD" w:rsidRPr="00424615" w:rsidRDefault="006F56CD" w:rsidP="006F56CD">
            <w:pPr>
              <w:jc w:val="center"/>
            </w:pPr>
            <w:r w:rsidRPr="00424615">
              <w:t>041</w:t>
            </w:r>
          </w:p>
        </w:tc>
      </w:tr>
      <w:tr w:rsidR="006F56CD" w:rsidRPr="00424615" w:rsidTr="00E70FBC">
        <w:tc>
          <w:tcPr>
            <w:tcW w:w="6894" w:type="dxa"/>
          </w:tcPr>
          <w:p w:rsidR="006F56CD" w:rsidRPr="00424615" w:rsidRDefault="006F56CD" w:rsidP="006F56CD">
            <w:r w:rsidRPr="00424615">
              <w:t>Federal Acid Rain Program, Phase II</w:t>
            </w:r>
          </w:p>
        </w:tc>
        <w:tc>
          <w:tcPr>
            <w:tcW w:w="3060" w:type="dxa"/>
            <w:vMerge w:val="restart"/>
            <w:vAlign w:val="center"/>
          </w:tcPr>
          <w:p w:rsidR="006F56CD" w:rsidRPr="00424615" w:rsidRDefault="006F56CD" w:rsidP="006F56CD">
            <w:pPr>
              <w:jc w:val="center"/>
            </w:pPr>
            <w:r w:rsidRPr="00424615">
              <w:t>001, 002, 025, 026</w:t>
            </w:r>
          </w:p>
        </w:tc>
      </w:tr>
      <w:tr w:rsidR="006F56CD" w:rsidRPr="00424615" w:rsidTr="00E70FBC">
        <w:tc>
          <w:tcPr>
            <w:tcW w:w="6894" w:type="dxa"/>
          </w:tcPr>
          <w:p w:rsidR="006F56CD" w:rsidRPr="00424615" w:rsidRDefault="006F56CD" w:rsidP="006F56CD">
            <w:r w:rsidRPr="00424615">
              <w:t>40 CFR 75 Acid Rain Monitoring Provisions</w:t>
            </w:r>
          </w:p>
        </w:tc>
        <w:tc>
          <w:tcPr>
            <w:tcW w:w="3060" w:type="dxa"/>
            <w:vMerge/>
          </w:tcPr>
          <w:p w:rsidR="006F56CD" w:rsidRPr="00424615" w:rsidRDefault="006F56CD" w:rsidP="006F56CD">
            <w:pPr>
              <w:jc w:val="center"/>
            </w:pPr>
          </w:p>
        </w:tc>
      </w:tr>
      <w:tr w:rsidR="006F56CD" w:rsidRPr="00424615" w:rsidTr="00E70FBC">
        <w:tc>
          <w:tcPr>
            <w:tcW w:w="6894" w:type="dxa"/>
          </w:tcPr>
          <w:p w:rsidR="006F56CD" w:rsidRPr="00424615" w:rsidRDefault="006F56CD" w:rsidP="006F56CD">
            <w:pPr>
              <w:autoSpaceDE w:val="0"/>
              <w:autoSpaceDN w:val="0"/>
              <w:adjustRightInd w:val="0"/>
            </w:pPr>
            <w:r w:rsidRPr="00424615">
              <w:t xml:space="preserve">40 CFR 63, Subpart ZZZZ, </w:t>
            </w:r>
            <w:r w:rsidRPr="00424615">
              <w:rPr>
                <w:bCs/>
              </w:rPr>
              <w:t>National Emission Standards for Hazardous Air Pollutants for Stationary Reciprocating Internal Combustion Engines (RICE)</w:t>
            </w:r>
          </w:p>
        </w:tc>
        <w:tc>
          <w:tcPr>
            <w:tcW w:w="3060" w:type="dxa"/>
          </w:tcPr>
          <w:p w:rsidR="006F56CD" w:rsidRPr="00424615" w:rsidRDefault="006F56CD" w:rsidP="006F56CD">
            <w:pPr>
              <w:jc w:val="center"/>
            </w:pPr>
            <w:r w:rsidRPr="00424615">
              <w:t>024, 041, 044</w:t>
            </w:r>
          </w:p>
        </w:tc>
      </w:tr>
      <w:tr w:rsidR="006F56CD" w:rsidRPr="00424615" w:rsidTr="00E70FBC">
        <w:tc>
          <w:tcPr>
            <w:tcW w:w="6894" w:type="dxa"/>
          </w:tcPr>
          <w:p w:rsidR="006F56CD" w:rsidRPr="00424615" w:rsidRDefault="006F56CD" w:rsidP="006F56CD">
            <w:r w:rsidRPr="00424615">
              <w:t xml:space="preserve">40 CFR 63, Subpart UUUUU, </w:t>
            </w:r>
            <w:r w:rsidRPr="00424615">
              <w:rPr>
                <w:kern w:val="36"/>
                <w:lang w:val="en"/>
              </w:rPr>
              <w:t>National Emission Standards for Hazardous Air Pollutants: Coal- and Oil-Fired Electric Utility Steam Generating Units</w:t>
            </w:r>
          </w:p>
        </w:tc>
        <w:tc>
          <w:tcPr>
            <w:tcW w:w="3060" w:type="dxa"/>
          </w:tcPr>
          <w:p w:rsidR="006F56CD" w:rsidRPr="00424615" w:rsidRDefault="006F56CD" w:rsidP="006F56CD">
            <w:pPr>
              <w:jc w:val="center"/>
            </w:pPr>
            <w:r w:rsidRPr="00424615">
              <w:t>001, 002</w:t>
            </w:r>
          </w:p>
        </w:tc>
      </w:tr>
      <w:tr w:rsidR="006F56CD" w:rsidRPr="00424615" w:rsidTr="00E70FBC">
        <w:tc>
          <w:tcPr>
            <w:tcW w:w="9954" w:type="dxa"/>
            <w:gridSpan w:val="2"/>
          </w:tcPr>
          <w:p w:rsidR="006F56CD" w:rsidRPr="00424615" w:rsidRDefault="006F56CD" w:rsidP="006F56CD">
            <w:pPr>
              <w:jc w:val="center"/>
            </w:pPr>
            <w:r w:rsidRPr="00424615">
              <w:rPr>
                <w:i/>
              </w:rPr>
              <w:t>State Rule Citations</w:t>
            </w: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pPr>
              <w:widowControl w:val="0"/>
            </w:pPr>
            <w:r w:rsidRPr="00424615">
              <w:t>Rule 62-4, F.A.C. (Permitting Requirements)</w:t>
            </w:r>
          </w:p>
        </w:tc>
        <w:tc>
          <w:tcPr>
            <w:tcW w:w="3060" w:type="dxa"/>
            <w:vMerge w:val="restart"/>
            <w:tcBorders>
              <w:top w:val="single" w:sz="4" w:space="0" w:color="auto"/>
              <w:bottom w:val="single" w:sz="8" w:space="0" w:color="auto"/>
            </w:tcBorders>
            <w:vAlign w:val="center"/>
          </w:tcPr>
          <w:p w:rsidR="006F56CD" w:rsidRPr="00424615" w:rsidRDefault="006F56CD" w:rsidP="006F56CD">
            <w:pPr>
              <w:jc w:val="center"/>
            </w:pPr>
            <w:r w:rsidRPr="00424615">
              <w:t>001, 002, 004 through 016, 025, 026,and 029</w:t>
            </w: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pPr>
              <w:widowControl w:val="0"/>
            </w:pPr>
            <w:r w:rsidRPr="00424615">
              <w:t>Rule 62-204, F.A.C. (Ambient Air Quality Requirements, PSD Increments, and Federal Regulations Adopted by Reference)</w:t>
            </w:r>
          </w:p>
        </w:tc>
        <w:tc>
          <w:tcPr>
            <w:tcW w:w="3060" w:type="dxa"/>
            <w:vMerge/>
            <w:tcBorders>
              <w:top w:val="single" w:sz="8" w:space="0" w:color="auto"/>
            </w:tcBorders>
          </w:tcPr>
          <w:p w:rsidR="006F56CD" w:rsidRPr="00424615" w:rsidRDefault="006F56CD" w:rsidP="006F56CD">
            <w:pPr>
              <w:jc w:val="center"/>
            </w:pP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pPr>
              <w:widowControl w:val="0"/>
            </w:pPr>
            <w:r w:rsidRPr="00424615">
              <w:t>Rule 62-210, F.A.C. (Permits Required, Public Notice, Reports, Stack Height Policy, Circumvention, Excess Emissions, and Forms)</w:t>
            </w:r>
          </w:p>
        </w:tc>
        <w:tc>
          <w:tcPr>
            <w:tcW w:w="3060" w:type="dxa"/>
            <w:vMerge/>
          </w:tcPr>
          <w:p w:rsidR="006F56CD" w:rsidRPr="00424615" w:rsidRDefault="006F56CD" w:rsidP="006F56CD">
            <w:pPr>
              <w:jc w:val="center"/>
            </w:pP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pPr>
              <w:widowControl w:val="0"/>
            </w:pPr>
            <w:r w:rsidRPr="00424615">
              <w:t>Rule 62-212, F.A.C. (Preconstruction Review, PSD Review and BACT)</w:t>
            </w:r>
          </w:p>
        </w:tc>
        <w:tc>
          <w:tcPr>
            <w:tcW w:w="3060" w:type="dxa"/>
            <w:vMerge/>
          </w:tcPr>
          <w:p w:rsidR="006F56CD" w:rsidRPr="00424615" w:rsidRDefault="006F56CD" w:rsidP="006F56CD">
            <w:pPr>
              <w:jc w:val="center"/>
            </w:pP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pPr>
              <w:widowControl w:val="0"/>
            </w:pPr>
            <w:r w:rsidRPr="00424615">
              <w:t>Rule 62-213, F.A.C. (Title V Air Operation Permits for Major Sources of Air Pollution)</w:t>
            </w:r>
          </w:p>
        </w:tc>
        <w:tc>
          <w:tcPr>
            <w:tcW w:w="3060" w:type="dxa"/>
            <w:vMerge/>
            <w:tcBorders>
              <w:bottom w:val="single" w:sz="4" w:space="0" w:color="auto"/>
            </w:tcBorders>
          </w:tcPr>
          <w:p w:rsidR="006F56CD" w:rsidRPr="00424615" w:rsidRDefault="006F56CD" w:rsidP="006F56CD">
            <w:pPr>
              <w:jc w:val="center"/>
            </w:pP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pPr>
              <w:widowControl w:val="0"/>
            </w:pPr>
            <w:r w:rsidRPr="00424615">
              <w:t>Rule 62-214, F.A.C. (</w:t>
            </w:r>
            <w:r w:rsidRPr="00424615">
              <w:rPr>
                <w:color w:val="000000"/>
              </w:rPr>
              <w:t>Requirements For Sources Subject To The Federal Acid Rain Program)</w:t>
            </w:r>
          </w:p>
        </w:tc>
        <w:tc>
          <w:tcPr>
            <w:tcW w:w="3060" w:type="dxa"/>
            <w:tcBorders>
              <w:top w:val="single" w:sz="4" w:space="0" w:color="auto"/>
              <w:bottom w:val="single" w:sz="4" w:space="0" w:color="auto"/>
            </w:tcBorders>
            <w:vAlign w:val="center"/>
          </w:tcPr>
          <w:p w:rsidR="006F56CD" w:rsidRPr="00424615" w:rsidRDefault="006F56CD" w:rsidP="006F56CD">
            <w:pPr>
              <w:jc w:val="center"/>
            </w:pPr>
            <w:r w:rsidRPr="00424615">
              <w:t>001, 002, 025, 026</w:t>
            </w: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pPr>
              <w:widowControl w:val="0"/>
            </w:pPr>
            <w:r w:rsidRPr="00424615">
              <w:t>Rule 62-296, F.A.C. (Emission Limiting Standards)</w:t>
            </w:r>
          </w:p>
        </w:tc>
        <w:tc>
          <w:tcPr>
            <w:tcW w:w="3060" w:type="dxa"/>
            <w:vMerge w:val="restart"/>
            <w:tcBorders>
              <w:top w:val="single" w:sz="4" w:space="0" w:color="auto"/>
            </w:tcBorders>
            <w:vAlign w:val="center"/>
          </w:tcPr>
          <w:p w:rsidR="006F56CD" w:rsidRPr="00424615" w:rsidRDefault="006F56CD" w:rsidP="006F56CD">
            <w:pPr>
              <w:jc w:val="center"/>
            </w:pPr>
            <w:r w:rsidRPr="00424615">
              <w:t>001, 002, 004 through 016, 025, 026,and 029</w:t>
            </w: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pPr>
              <w:widowControl w:val="0"/>
            </w:pPr>
            <w:r w:rsidRPr="00424615">
              <w:t>Rule 62-297, F.A.C. (Test Methods and Procedures, Continuous Monitoring Specifications, and Alternate Sampling Procedures)</w:t>
            </w:r>
          </w:p>
        </w:tc>
        <w:tc>
          <w:tcPr>
            <w:tcW w:w="3060" w:type="dxa"/>
            <w:vMerge/>
            <w:tcBorders>
              <w:bottom w:val="single" w:sz="4" w:space="0" w:color="auto"/>
            </w:tcBorders>
          </w:tcPr>
          <w:p w:rsidR="006F56CD" w:rsidRPr="00424615" w:rsidRDefault="006F56CD" w:rsidP="006F56CD">
            <w:pPr>
              <w:jc w:val="center"/>
            </w:pP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pPr>
              <w:rPr>
                <w:color w:val="000000"/>
              </w:rPr>
            </w:pPr>
            <w:r w:rsidRPr="00424615">
              <w:rPr>
                <w:color w:val="000000"/>
              </w:rPr>
              <w:t>Rule 62-296.511, F.A.C. (Solvent Metal Cleaning)</w:t>
            </w:r>
          </w:p>
        </w:tc>
        <w:tc>
          <w:tcPr>
            <w:tcW w:w="3060" w:type="dxa"/>
            <w:tcBorders>
              <w:top w:val="single" w:sz="4" w:space="0" w:color="auto"/>
              <w:bottom w:val="single" w:sz="4" w:space="0" w:color="auto"/>
            </w:tcBorders>
            <w:vAlign w:val="center"/>
          </w:tcPr>
          <w:p w:rsidR="006F56CD" w:rsidRPr="00424615" w:rsidRDefault="006F56CD" w:rsidP="006F56CD">
            <w:pPr>
              <w:jc w:val="center"/>
            </w:pPr>
            <w:r w:rsidRPr="00424615">
              <w:t>021</w:t>
            </w: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r w:rsidRPr="00424615">
              <w:rPr>
                <w:color w:val="000000"/>
              </w:rPr>
              <w:t>PSD-FL-084</w:t>
            </w:r>
          </w:p>
        </w:tc>
        <w:tc>
          <w:tcPr>
            <w:tcW w:w="3060" w:type="dxa"/>
            <w:tcBorders>
              <w:top w:val="single" w:sz="4" w:space="0" w:color="auto"/>
              <w:bottom w:val="single" w:sz="4" w:space="0" w:color="auto"/>
            </w:tcBorders>
            <w:vAlign w:val="center"/>
          </w:tcPr>
          <w:p w:rsidR="006F56CD" w:rsidRPr="00424615" w:rsidRDefault="006F56CD" w:rsidP="006F56CD">
            <w:pPr>
              <w:jc w:val="center"/>
            </w:pPr>
            <w:r w:rsidRPr="00424615">
              <w:t>001, 002</w:t>
            </w:r>
          </w:p>
        </w:tc>
      </w:tr>
      <w:tr w:rsidR="006F56CD" w:rsidRPr="00424615" w:rsidTr="00E70FBC">
        <w:tc>
          <w:tcPr>
            <w:tcW w:w="6894" w:type="dxa"/>
            <w:tcBorders>
              <w:top w:val="single" w:sz="8" w:space="0" w:color="auto"/>
              <w:bottom w:val="single" w:sz="8" w:space="0" w:color="auto"/>
            </w:tcBorders>
          </w:tcPr>
          <w:p w:rsidR="006F56CD" w:rsidRPr="00424615" w:rsidRDefault="006F56CD" w:rsidP="006F56CD">
            <w:pPr>
              <w:suppressAutoHyphens/>
            </w:pPr>
            <w:r w:rsidRPr="00424615">
              <w:rPr>
                <w:color w:val="000000"/>
              </w:rPr>
              <w:t>PPS PA 81-14/SA2</w:t>
            </w:r>
          </w:p>
        </w:tc>
        <w:tc>
          <w:tcPr>
            <w:tcW w:w="3060" w:type="dxa"/>
            <w:tcBorders>
              <w:top w:val="single" w:sz="4" w:space="0" w:color="auto"/>
              <w:bottom w:val="single" w:sz="4" w:space="0" w:color="auto"/>
            </w:tcBorders>
          </w:tcPr>
          <w:p w:rsidR="006F56CD" w:rsidRPr="00424615" w:rsidRDefault="006F56CD" w:rsidP="006F56CD">
            <w:pPr>
              <w:jc w:val="center"/>
            </w:pPr>
            <w:r w:rsidRPr="00424615">
              <w:t>01, 002, 025, 026</w:t>
            </w:r>
          </w:p>
        </w:tc>
      </w:tr>
      <w:tr w:rsidR="006F56CD" w:rsidRPr="00424615" w:rsidTr="00E70FBC">
        <w:tc>
          <w:tcPr>
            <w:tcW w:w="6894" w:type="dxa"/>
            <w:tcBorders>
              <w:top w:val="single" w:sz="8" w:space="0" w:color="auto"/>
              <w:bottom w:val="single" w:sz="12" w:space="0" w:color="auto"/>
            </w:tcBorders>
          </w:tcPr>
          <w:p w:rsidR="006F56CD" w:rsidRPr="00424615" w:rsidRDefault="006F56CD" w:rsidP="006F56CD">
            <w:pPr>
              <w:suppressAutoHyphens/>
              <w:rPr>
                <w:color w:val="000000"/>
              </w:rPr>
            </w:pPr>
            <w:r w:rsidRPr="00424615">
              <w:t>PSD-FL-313, 0950137-002-AC</w:t>
            </w:r>
          </w:p>
        </w:tc>
        <w:tc>
          <w:tcPr>
            <w:tcW w:w="3060" w:type="dxa"/>
            <w:tcBorders>
              <w:top w:val="single" w:sz="4" w:space="0" w:color="auto"/>
              <w:bottom w:val="single" w:sz="12" w:space="0" w:color="auto"/>
            </w:tcBorders>
          </w:tcPr>
          <w:p w:rsidR="006F56CD" w:rsidRPr="00424615" w:rsidRDefault="006F56CD" w:rsidP="006F56CD">
            <w:pPr>
              <w:jc w:val="center"/>
            </w:pPr>
            <w:r w:rsidRPr="00424615">
              <w:t>025, 026</w:t>
            </w:r>
          </w:p>
        </w:tc>
      </w:tr>
    </w:tbl>
    <w:p w:rsidR="00716246" w:rsidRPr="00770A31" w:rsidRDefault="006F56CD" w:rsidP="00973148">
      <w:pPr>
        <w:spacing w:before="120" w:after="120"/>
        <w:rPr>
          <w:sz w:val="22"/>
          <w:szCs w:val="22"/>
        </w:rPr>
      </w:pPr>
      <w:r w:rsidRPr="006F56CD">
        <w:rPr>
          <w:sz w:val="22"/>
          <w:szCs w:val="22"/>
        </w:rPr>
        <w:lastRenderedPageBreak/>
        <w:t>This</w:t>
      </w:r>
      <w:r w:rsidR="00047CB2" w:rsidRPr="006F56CD">
        <w:rPr>
          <w:sz w:val="22"/>
          <w:szCs w:val="22"/>
        </w:rPr>
        <w:t xml:space="preserve"> facility also includes miscellaneous unregulated/insignificant emissions units and/or activities.</w:t>
      </w:r>
    </w:p>
    <w:p w:rsidR="000B6156" w:rsidRPr="00D10365" w:rsidRDefault="000B6156" w:rsidP="000B6156">
      <w:pPr>
        <w:spacing w:before="120" w:after="120"/>
        <w:rPr>
          <w:b/>
          <w:caps/>
          <w:sz w:val="22"/>
          <w:szCs w:val="22"/>
        </w:rPr>
      </w:pPr>
      <w:r>
        <w:rPr>
          <w:b/>
          <w:caps/>
          <w:sz w:val="22"/>
          <w:szCs w:val="22"/>
        </w:rPr>
        <w:t>Project DESCRIPTION</w:t>
      </w:r>
    </w:p>
    <w:p w:rsidR="000B6156" w:rsidRPr="008E5304" w:rsidRDefault="000B6156" w:rsidP="000B6156">
      <w:pPr>
        <w:spacing w:after="120"/>
        <w:rPr>
          <w:sz w:val="22"/>
          <w:szCs w:val="22"/>
        </w:rPr>
      </w:pPr>
      <w:r>
        <w:rPr>
          <w:sz w:val="22"/>
          <w:szCs w:val="22"/>
        </w:rPr>
        <w:t xml:space="preserve">The purpose of this permitting project is to </w:t>
      </w:r>
      <w:r w:rsidR="00973148" w:rsidRPr="006F56CD">
        <w:rPr>
          <w:sz w:val="22"/>
          <w:szCs w:val="22"/>
        </w:rPr>
        <w:t>revise</w:t>
      </w:r>
      <w:r>
        <w:rPr>
          <w:sz w:val="22"/>
          <w:szCs w:val="22"/>
        </w:rPr>
        <w:t xml:space="preserve"> the existing Title V permit for</w:t>
      </w:r>
      <w:r w:rsidR="005F49A2">
        <w:rPr>
          <w:sz w:val="22"/>
          <w:szCs w:val="22"/>
        </w:rPr>
        <w:t xml:space="preserve"> the above referenced facility</w:t>
      </w:r>
      <w:r>
        <w:rPr>
          <w:sz w:val="22"/>
          <w:szCs w:val="22"/>
        </w:rPr>
        <w:t xml:space="preserve">.  </w:t>
      </w:r>
      <w:r w:rsidR="006F56CD">
        <w:rPr>
          <w:sz w:val="22"/>
          <w:szCs w:val="22"/>
        </w:rPr>
        <w:t>This revised permit incorporates permit No. 0950137-046-AC into the facility’s current Title V air operation permit</w:t>
      </w:r>
      <w:r w:rsidR="006F56CD" w:rsidRPr="00EA5FC2">
        <w:rPr>
          <w:sz w:val="22"/>
          <w:szCs w:val="22"/>
        </w:rPr>
        <w:t xml:space="preserve"> No. 0950137-044-AV</w:t>
      </w:r>
      <w:r w:rsidR="009622AF">
        <w:rPr>
          <w:sz w:val="22"/>
          <w:szCs w:val="22"/>
        </w:rPr>
        <w:t>.</w:t>
      </w:r>
    </w:p>
    <w:p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rsidR="00692F44" w:rsidRDefault="00356132" w:rsidP="00692F44">
      <w:pPr>
        <w:widowControl w:val="0"/>
        <w:spacing w:after="120"/>
        <w:rPr>
          <w:b/>
          <w:bCs/>
          <w:sz w:val="22"/>
        </w:rPr>
      </w:pPr>
      <w:r w:rsidRPr="00191B4E">
        <w:rPr>
          <w:sz w:val="22"/>
        </w:rPr>
        <w:t>The Department received an application for a Title V Air Operation Permit Revision on</w:t>
      </w:r>
      <w:r>
        <w:rPr>
          <w:sz w:val="22"/>
        </w:rPr>
        <w:t xml:space="preserve"> April 21, 2016</w:t>
      </w:r>
    </w:p>
    <w:p w:rsidR="001E46FC" w:rsidRPr="00D10365" w:rsidRDefault="001E46FC" w:rsidP="001E46FC">
      <w:pPr>
        <w:spacing w:after="120"/>
        <w:rPr>
          <w:b/>
          <w:caps/>
          <w:sz w:val="22"/>
          <w:szCs w:val="22"/>
        </w:rPr>
      </w:pPr>
      <w:r>
        <w:rPr>
          <w:b/>
          <w:caps/>
          <w:sz w:val="22"/>
          <w:szCs w:val="22"/>
        </w:rPr>
        <w:t>Primary Regulatory requirements</w:t>
      </w:r>
    </w:p>
    <w:p w:rsidR="00E377C1" w:rsidRDefault="00E377C1" w:rsidP="004222B6">
      <w:pPr>
        <w:spacing w:after="120"/>
        <w:jc w:val="both"/>
        <w:rPr>
          <w:sz w:val="22"/>
        </w:rPr>
      </w:pPr>
      <w:r>
        <w:rPr>
          <w:sz w:val="22"/>
          <w:u w:val="single"/>
        </w:rPr>
        <w:t>Standard Industrial Classification (SIC) Code</w:t>
      </w:r>
      <w:r w:rsidRPr="00E377C1">
        <w:rPr>
          <w:sz w:val="22"/>
        </w:rPr>
        <w:t xml:space="preserve">:  </w:t>
      </w:r>
      <w:r w:rsidRPr="002B0F67">
        <w:rPr>
          <w:sz w:val="22"/>
        </w:rPr>
        <w:t>4911 – Electrical Generation</w:t>
      </w:r>
      <w:r w:rsidR="00FC2A5A">
        <w:rPr>
          <w:sz w:val="22"/>
        </w:rPr>
        <w:t>.</w:t>
      </w:r>
    </w:p>
    <w:p w:rsidR="00C02A65" w:rsidRDefault="00C02A65" w:rsidP="004222B6">
      <w:pPr>
        <w:spacing w:after="120"/>
        <w:jc w:val="both"/>
        <w:rPr>
          <w:sz w:val="22"/>
        </w:rPr>
      </w:pPr>
      <w:r w:rsidRPr="00A323C3">
        <w:rPr>
          <w:sz w:val="22"/>
          <w:u w:val="single"/>
        </w:rPr>
        <w:t>North American Industry Classification System (NAICS)</w:t>
      </w:r>
      <w:r w:rsidRPr="00D46A72">
        <w:rPr>
          <w:sz w:val="22"/>
        </w:rPr>
        <w:t xml:space="preserve">:  </w:t>
      </w:r>
      <w:r w:rsidR="002B0F67">
        <w:rPr>
          <w:sz w:val="22"/>
        </w:rPr>
        <w:t>221112 – Fossil Fuel Electric Power Generation</w:t>
      </w:r>
      <w:r>
        <w:rPr>
          <w:sz w:val="22"/>
        </w:rPr>
        <w:t>.</w:t>
      </w:r>
    </w:p>
    <w:p w:rsidR="004222B6" w:rsidRPr="009F3614" w:rsidRDefault="00A8180D" w:rsidP="004222B6">
      <w:pPr>
        <w:spacing w:after="120"/>
        <w:jc w:val="both"/>
        <w:rPr>
          <w:sz w:val="22"/>
        </w:rPr>
      </w:pPr>
      <w:bookmarkStart w:id="0" w:name="q5"/>
      <w:bookmarkEnd w:id="0"/>
      <w:r>
        <w:rPr>
          <w:sz w:val="22"/>
          <w:u w:val="single"/>
        </w:rPr>
        <w:t>HAP</w:t>
      </w:r>
      <w:r w:rsidR="004222B6" w:rsidRPr="009F3614">
        <w:rPr>
          <w:sz w:val="22"/>
        </w:rPr>
        <w:t xml:space="preserve">:  The facility </w:t>
      </w:r>
      <w:r w:rsidR="004222B6" w:rsidRPr="002B0F67">
        <w:rPr>
          <w:sz w:val="22"/>
        </w:rPr>
        <w:t>is</w:t>
      </w:r>
      <w:r w:rsidR="004222B6" w:rsidRPr="009F3614">
        <w:rPr>
          <w:sz w:val="22"/>
        </w:rPr>
        <w:t xml:space="preserve"> identified as a major source of hazardous air pollutants (HAP).</w:t>
      </w:r>
    </w:p>
    <w:p w:rsidR="004222B6" w:rsidRPr="004222B6" w:rsidRDefault="004222B6" w:rsidP="004222B6">
      <w:pPr>
        <w:pStyle w:val="BodyText"/>
        <w:jc w:val="both"/>
        <w:rPr>
          <w:sz w:val="22"/>
          <w:highlight w:val="yellow"/>
        </w:rPr>
      </w:pPr>
      <w:r w:rsidRPr="002B0F67">
        <w:rPr>
          <w:sz w:val="22"/>
          <w:u w:val="single"/>
        </w:rPr>
        <w:t>Title IV</w:t>
      </w:r>
      <w:r w:rsidRPr="002B0F67">
        <w:rPr>
          <w:sz w:val="22"/>
        </w:rPr>
        <w:t>:  The facility operates units subject to the acid rain provisions of the Clean Air Act.</w:t>
      </w:r>
    </w:p>
    <w:p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4222B6" w:rsidRPr="00770A31" w:rsidRDefault="004222B6" w:rsidP="004222B6">
      <w:pPr>
        <w:spacing w:after="120"/>
        <w:jc w:val="both"/>
        <w:rPr>
          <w:sz w:val="22"/>
          <w:highlight w:val="yellow"/>
        </w:rPr>
      </w:pPr>
      <w:r w:rsidRPr="002B0F67">
        <w:rPr>
          <w:sz w:val="22"/>
          <w:u w:val="single"/>
        </w:rPr>
        <w:t>PSD</w:t>
      </w:r>
      <w:r w:rsidRPr="002B0F67">
        <w:rPr>
          <w:sz w:val="22"/>
        </w:rPr>
        <w:t xml:space="preserve">: </w:t>
      </w:r>
      <w:r w:rsidR="00AA4348" w:rsidRPr="002B0F67">
        <w:rPr>
          <w:sz w:val="22"/>
        </w:rPr>
        <w:t xml:space="preserve"> The facility is a Prevention of Significant Deterioration (PSD)-major source of air pollution in accordance with Rule 62-212.400, F.A.C.</w:t>
      </w:r>
    </w:p>
    <w:p w:rsidR="004222B6" w:rsidRDefault="004222B6" w:rsidP="004222B6">
      <w:pPr>
        <w:pStyle w:val="BodyText"/>
        <w:jc w:val="both"/>
        <w:rPr>
          <w:sz w:val="22"/>
          <w:highlight w:val="yellow"/>
        </w:rPr>
      </w:pPr>
      <w:r w:rsidRPr="002B0F67">
        <w:rPr>
          <w:sz w:val="22"/>
          <w:u w:val="single"/>
        </w:rPr>
        <w:t>NSPS</w:t>
      </w:r>
      <w:r w:rsidRPr="002B0F67">
        <w:rPr>
          <w:sz w:val="22"/>
        </w:rPr>
        <w:t>:  The facility operates units subject to the New Source Performance Standards (NSPS) of 40 Code of Federal Regulations (CFR) 60.</w:t>
      </w:r>
    </w:p>
    <w:p w:rsidR="00770A31" w:rsidRDefault="00770A31" w:rsidP="00770A31">
      <w:pPr>
        <w:pStyle w:val="BodyText"/>
        <w:jc w:val="both"/>
        <w:rPr>
          <w:sz w:val="22"/>
          <w:highlight w:val="yellow"/>
        </w:rPr>
      </w:pPr>
      <w:r w:rsidRPr="002B0F67">
        <w:rPr>
          <w:sz w:val="22"/>
          <w:u w:val="single"/>
        </w:rPr>
        <w:t>NESHAP</w:t>
      </w:r>
      <w:r w:rsidRPr="002B0F67">
        <w:rPr>
          <w:sz w:val="22"/>
        </w:rPr>
        <w:t xml:space="preserve">:  The facility operates units subject to </w:t>
      </w:r>
      <w:r w:rsidR="00CC6C34" w:rsidRPr="002B0F67">
        <w:rPr>
          <w:sz w:val="22"/>
        </w:rPr>
        <w:t xml:space="preserve">the </w:t>
      </w:r>
      <w:r w:rsidRPr="002B0F67">
        <w:rPr>
          <w:sz w:val="22"/>
        </w:rPr>
        <w:t xml:space="preserve">National Emissions Standards for </w:t>
      </w:r>
      <w:r w:rsidR="00FD39C2" w:rsidRPr="002B0F67">
        <w:rPr>
          <w:sz w:val="22"/>
        </w:rPr>
        <w:t>Hazardous</w:t>
      </w:r>
      <w:r w:rsidRPr="002B0F67">
        <w:rPr>
          <w:sz w:val="22"/>
        </w:rPr>
        <w:t xml:space="preserve"> Air Pollutants (NESHAP) of 40 CFR 6</w:t>
      </w:r>
      <w:r w:rsidR="00CC6C34" w:rsidRPr="002B0F67">
        <w:rPr>
          <w:sz w:val="22"/>
        </w:rPr>
        <w:t>3</w:t>
      </w:r>
    </w:p>
    <w:p w:rsidR="004222B6" w:rsidRPr="004222B6" w:rsidRDefault="004222B6" w:rsidP="004222B6">
      <w:pPr>
        <w:pStyle w:val="BodyText"/>
        <w:jc w:val="both"/>
        <w:rPr>
          <w:sz w:val="22"/>
          <w:highlight w:val="yellow"/>
        </w:rPr>
      </w:pPr>
      <w:r w:rsidRPr="002B0F67">
        <w:rPr>
          <w:sz w:val="22"/>
          <w:u w:val="single"/>
        </w:rPr>
        <w:t>CAIR</w:t>
      </w:r>
      <w:r w:rsidRPr="002B0F67">
        <w:rPr>
          <w:sz w:val="22"/>
        </w:rPr>
        <w:t xml:space="preserve">:  </w:t>
      </w:r>
      <w:r w:rsidRPr="002B0F67">
        <w:rPr>
          <w:sz w:val="22"/>
          <w:szCs w:val="22"/>
        </w:rPr>
        <w:t>The facility is subject to the Clean Air Interstate Rule (CAIR) set forth in Rule 62-296.470,</w:t>
      </w:r>
      <w:r w:rsidR="00F338F5" w:rsidRPr="002B0F67">
        <w:rPr>
          <w:sz w:val="22"/>
        </w:rPr>
        <w:t xml:space="preserve"> F.A.C.</w:t>
      </w:r>
    </w:p>
    <w:p w:rsidR="004222B6" w:rsidRDefault="004222B6" w:rsidP="004222B6">
      <w:pPr>
        <w:spacing w:after="120"/>
        <w:rPr>
          <w:sz w:val="22"/>
          <w:szCs w:val="22"/>
        </w:rPr>
      </w:pPr>
      <w:r w:rsidRPr="002B0F67">
        <w:rPr>
          <w:sz w:val="22"/>
          <w:szCs w:val="22"/>
          <w:u w:val="single"/>
        </w:rPr>
        <w:t>Siting</w:t>
      </w:r>
      <w:r w:rsidRPr="002B0F67">
        <w:rPr>
          <w:sz w:val="22"/>
          <w:szCs w:val="22"/>
        </w:rPr>
        <w:t xml:space="preserve">: </w:t>
      </w:r>
      <w:r w:rsidRPr="002B0F67">
        <w:rPr>
          <w:i/>
          <w:sz w:val="22"/>
          <w:szCs w:val="22"/>
        </w:rPr>
        <w:t xml:space="preserve"> </w:t>
      </w:r>
      <w:r w:rsidR="002B0F67">
        <w:rPr>
          <w:sz w:val="22"/>
          <w:szCs w:val="22"/>
        </w:rPr>
        <w:t>The facility operates units that were certified under the Florida Power Plant Siting Act, 403.501-518, F.S., and Chapter 62-17, F.A.C.</w:t>
      </w:r>
    </w:p>
    <w:p w:rsidR="002B0F67" w:rsidRDefault="006A46D3" w:rsidP="002B0F67">
      <w:pPr>
        <w:spacing w:after="120"/>
        <w:rPr>
          <w:color w:val="000000" w:themeColor="text1"/>
          <w:sz w:val="22"/>
          <w:szCs w:val="22"/>
        </w:rPr>
      </w:pPr>
      <w:r w:rsidRPr="009F3614">
        <w:rPr>
          <w:sz w:val="22"/>
          <w:szCs w:val="22"/>
          <w:u w:val="single"/>
        </w:rPr>
        <w:t>CAM</w:t>
      </w:r>
      <w:r w:rsidRPr="009F3614">
        <w:rPr>
          <w:sz w:val="22"/>
          <w:szCs w:val="22"/>
        </w:rPr>
        <w:t xml:space="preserve">:  Compliance Assurance Monitoring (CAM) </w:t>
      </w:r>
      <w:r w:rsidR="002B0F67" w:rsidRPr="008E4B8E">
        <w:rPr>
          <w:sz w:val="22"/>
          <w:szCs w:val="22"/>
        </w:rPr>
        <w:t>applies</w:t>
      </w:r>
      <w:r w:rsidRPr="008E4B8E">
        <w:rPr>
          <w:sz w:val="22"/>
          <w:szCs w:val="22"/>
        </w:rPr>
        <w:t xml:space="preserve"> </w:t>
      </w:r>
      <w:r w:rsidR="002B0F67" w:rsidRPr="008E4B8E">
        <w:rPr>
          <w:sz w:val="22"/>
          <w:szCs w:val="22"/>
        </w:rPr>
        <w:t>to emissions units 001 and 002</w:t>
      </w:r>
      <w:r w:rsidR="008E4B8E">
        <w:rPr>
          <w:sz w:val="22"/>
          <w:szCs w:val="22"/>
        </w:rPr>
        <w:t xml:space="preserve"> (</w:t>
      </w:r>
      <w:r w:rsidR="008E4B8E">
        <w:rPr>
          <w:color w:val="000000" w:themeColor="text1"/>
          <w:sz w:val="22"/>
          <w:szCs w:val="22"/>
        </w:rPr>
        <w:t xml:space="preserve">FFSG 1 and </w:t>
      </w:r>
      <w:proofErr w:type="gramStart"/>
      <w:r w:rsidR="008E4B8E">
        <w:rPr>
          <w:color w:val="000000" w:themeColor="text1"/>
          <w:sz w:val="22"/>
          <w:szCs w:val="22"/>
        </w:rPr>
        <w:t>2 )</w:t>
      </w:r>
      <w:proofErr w:type="gramEnd"/>
      <w:r w:rsidR="002B0F67" w:rsidRPr="008E4B8E">
        <w:rPr>
          <w:sz w:val="22"/>
          <w:szCs w:val="22"/>
        </w:rPr>
        <w:t xml:space="preserve"> </w:t>
      </w:r>
      <w:r w:rsidRPr="008E4B8E">
        <w:rPr>
          <w:sz w:val="22"/>
          <w:szCs w:val="22"/>
        </w:rPr>
        <w:t xml:space="preserve">for the controlled emissions of </w:t>
      </w:r>
      <w:r w:rsidR="002B0F67">
        <w:rPr>
          <w:sz w:val="22"/>
          <w:szCs w:val="22"/>
        </w:rPr>
        <w:t>particulate matter (PM)</w:t>
      </w:r>
      <w:r w:rsidR="008E4B8E">
        <w:rPr>
          <w:sz w:val="22"/>
          <w:szCs w:val="22"/>
        </w:rPr>
        <w:t xml:space="preserve"> </w:t>
      </w:r>
      <w:r w:rsidR="002B0F67">
        <w:rPr>
          <w:color w:val="000000" w:themeColor="text1"/>
          <w:sz w:val="22"/>
          <w:szCs w:val="22"/>
        </w:rPr>
        <w:t>emissions controlled by an ESP.  Because the continuous opacity monitoring system (COMS) is required to be used at the facility (for Phase II Acid Rain Program purposes), it must also be used as part of the CAM plan.  A CAM plan is included for the ESP.  FFSG No.1 and No. 2 are not subject to CAM for the controlled emissions of sulfur dioxide</w:t>
      </w:r>
      <w:r w:rsidR="008E4B8E">
        <w:rPr>
          <w:color w:val="000000" w:themeColor="text1"/>
          <w:sz w:val="22"/>
          <w:szCs w:val="22"/>
        </w:rPr>
        <w:t xml:space="preserve"> (SO</w:t>
      </w:r>
      <w:r w:rsidR="008E4B8E">
        <w:rPr>
          <w:color w:val="000000" w:themeColor="text1"/>
          <w:sz w:val="22"/>
          <w:szCs w:val="22"/>
          <w:vertAlign w:val="subscript"/>
        </w:rPr>
        <w:t>2</w:t>
      </w:r>
      <w:r w:rsidR="008E4B8E">
        <w:rPr>
          <w:color w:val="000000" w:themeColor="text1"/>
          <w:sz w:val="22"/>
          <w:szCs w:val="22"/>
        </w:rPr>
        <w:t>)</w:t>
      </w:r>
      <w:r w:rsidR="002B0F67">
        <w:rPr>
          <w:color w:val="000000" w:themeColor="text1"/>
          <w:sz w:val="22"/>
          <w:szCs w:val="22"/>
        </w:rPr>
        <w:t xml:space="preserve"> because the SO</w:t>
      </w:r>
      <w:r w:rsidR="002B0F67">
        <w:rPr>
          <w:color w:val="000000" w:themeColor="text1"/>
          <w:sz w:val="22"/>
          <w:szCs w:val="22"/>
          <w:vertAlign w:val="subscript"/>
        </w:rPr>
        <w:t>2</w:t>
      </w:r>
      <w:r w:rsidR="002B0F67">
        <w:rPr>
          <w:color w:val="000000" w:themeColor="text1"/>
          <w:sz w:val="22"/>
          <w:szCs w:val="22"/>
        </w:rPr>
        <w:t xml:space="preserve"> CEMS are used as a continuous compliance determination method.</w:t>
      </w:r>
    </w:p>
    <w:p w:rsidR="002B0F67" w:rsidRDefault="002B0F67" w:rsidP="002B0F67">
      <w:pPr>
        <w:spacing w:after="120"/>
        <w:rPr>
          <w:sz w:val="22"/>
          <w:szCs w:val="22"/>
        </w:rPr>
      </w:pPr>
      <w:r>
        <w:rPr>
          <w:color w:val="000000" w:themeColor="text1"/>
          <w:sz w:val="22"/>
          <w:szCs w:val="22"/>
        </w:rPr>
        <w:t xml:space="preserve">The combined cycle combustion turbines (Emissions Units 025 and 026) and the combined cycle Unit B </w:t>
      </w:r>
      <w:r>
        <w:rPr>
          <w:color w:val="000000"/>
          <w:sz w:val="22"/>
          <w:szCs w:val="22"/>
        </w:rPr>
        <w:t xml:space="preserve">(Emission Unit 037) are not subject to CAM because the </w:t>
      </w:r>
      <w:r>
        <w:rPr>
          <w:sz w:val="22"/>
          <w:szCs w:val="22"/>
        </w:rPr>
        <w:t>NO</w:t>
      </w:r>
      <w:r>
        <w:rPr>
          <w:sz w:val="22"/>
          <w:szCs w:val="22"/>
          <w:vertAlign w:val="subscript"/>
        </w:rPr>
        <w:t xml:space="preserve">X </w:t>
      </w:r>
      <w:r>
        <w:rPr>
          <w:sz w:val="22"/>
          <w:szCs w:val="22"/>
        </w:rPr>
        <w:t xml:space="preserve">CEMS is used for continuous compliance determination.  Thus no CAM plan is included for these units in this permit. </w:t>
      </w:r>
    </w:p>
    <w:p w:rsidR="009A64C4" w:rsidRDefault="009A64C4" w:rsidP="006A46D3">
      <w:pPr>
        <w:spacing w:after="120"/>
        <w:rPr>
          <w:sz w:val="22"/>
          <w:szCs w:val="22"/>
        </w:rPr>
      </w:pPr>
      <w:r w:rsidRPr="009A64C4">
        <w:rPr>
          <w:sz w:val="22"/>
          <w:szCs w:val="22"/>
          <w:u w:val="single"/>
        </w:rPr>
        <w:t>GHG</w:t>
      </w:r>
      <w:r w:rsidR="00424615">
        <w:rPr>
          <w:sz w:val="22"/>
          <w:szCs w:val="22"/>
        </w:rPr>
        <w:t xml:space="preserve">:  The facility </w:t>
      </w:r>
      <w:r w:rsidRPr="00424615">
        <w:rPr>
          <w:sz w:val="22"/>
          <w:szCs w:val="22"/>
        </w:rPr>
        <w:t>is not</w:t>
      </w:r>
      <w:r>
        <w:rPr>
          <w:sz w:val="22"/>
          <w:szCs w:val="22"/>
        </w:rPr>
        <w:t xml:space="preserve"> identified as a major source of green house gas (GHG) pollutants.</w:t>
      </w:r>
    </w:p>
    <w:p w:rsidR="008A76C6" w:rsidRDefault="008A76C6" w:rsidP="00303BD3">
      <w:pPr>
        <w:spacing w:after="120"/>
        <w:rPr>
          <w:b/>
          <w:sz w:val="22"/>
          <w:szCs w:val="22"/>
        </w:rPr>
      </w:pPr>
      <w:r>
        <w:rPr>
          <w:b/>
          <w:sz w:val="22"/>
          <w:szCs w:val="22"/>
        </w:rPr>
        <w:t>PROJECT REVIEW</w:t>
      </w:r>
    </w:p>
    <w:p w:rsidR="0053445F" w:rsidRDefault="005A09D6" w:rsidP="00303BD3">
      <w:pPr>
        <w:spacing w:after="120"/>
        <w:rPr>
          <w:sz w:val="22"/>
          <w:szCs w:val="22"/>
        </w:rPr>
      </w:pPr>
      <w:r w:rsidRPr="002306EE">
        <w:rPr>
          <w:sz w:val="22"/>
          <w:szCs w:val="22"/>
        </w:rPr>
        <w:t>Specific changes were made to the previous Title V Air Operation Permit No. 0</w:t>
      </w:r>
      <w:r w:rsidR="00BB1149">
        <w:rPr>
          <w:sz w:val="22"/>
          <w:szCs w:val="22"/>
        </w:rPr>
        <w:t>9</w:t>
      </w:r>
      <w:r w:rsidRPr="002306EE">
        <w:rPr>
          <w:sz w:val="22"/>
          <w:szCs w:val="22"/>
        </w:rPr>
        <w:t>50</w:t>
      </w:r>
      <w:r w:rsidR="00BB1149">
        <w:rPr>
          <w:sz w:val="22"/>
          <w:szCs w:val="22"/>
        </w:rPr>
        <w:t>137</w:t>
      </w:r>
      <w:r w:rsidRPr="002306EE">
        <w:rPr>
          <w:sz w:val="22"/>
          <w:szCs w:val="22"/>
        </w:rPr>
        <w:t>-</w:t>
      </w:r>
      <w:r w:rsidR="00BB1149">
        <w:rPr>
          <w:sz w:val="22"/>
          <w:szCs w:val="22"/>
        </w:rPr>
        <w:t>044</w:t>
      </w:r>
      <w:r>
        <w:rPr>
          <w:sz w:val="22"/>
          <w:szCs w:val="22"/>
        </w:rPr>
        <w:t>-AV, and are in this</w:t>
      </w:r>
      <w:r w:rsidRPr="002306EE">
        <w:rPr>
          <w:sz w:val="22"/>
          <w:szCs w:val="22"/>
        </w:rPr>
        <w:t xml:space="preserve"> Title </w:t>
      </w:r>
      <w:r>
        <w:rPr>
          <w:sz w:val="22"/>
          <w:szCs w:val="22"/>
        </w:rPr>
        <w:t>V Air Operation Permit Revision</w:t>
      </w:r>
      <w:r w:rsidRPr="002306EE">
        <w:rPr>
          <w:sz w:val="22"/>
          <w:szCs w:val="22"/>
        </w:rPr>
        <w:t>.</w:t>
      </w:r>
      <w:r w:rsidR="00313943">
        <w:rPr>
          <w:sz w:val="22"/>
          <w:szCs w:val="22"/>
        </w:rPr>
        <w:t xml:space="preserve">  </w:t>
      </w:r>
      <w:r w:rsidR="001303AD">
        <w:rPr>
          <w:sz w:val="22"/>
          <w:szCs w:val="22"/>
        </w:rPr>
        <w:t>F</w:t>
      </w:r>
      <w:r w:rsidR="001303AD" w:rsidRPr="00C96213">
        <w:rPr>
          <w:sz w:val="22"/>
          <w:szCs w:val="22"/>
        </w:rPr>
        <w:t>or ease of identif</w:t>
      </w:r>
      <w:r w:rsidR="001303AD">
        <w:rPr>
          <w:sz w:val="22"/>
          <w:szCs w:val="22"/>
        </w:rPr>
        <w:t>ication, all</w:t>
      </w:r>
      <w:r w:rsidR="001303AD" w:rsidRPr="00C96213">
        <w:rPr>
          <w:sz w:val="22"/>
          <w:szCs w:val="22"/>
        </w:rPr>
        <w:t xml:space="preserve"> changes to the permi</w:t>
      </w:r>
      <w:r w:rsidR="001303AD">
        <w:rPr>
          <w:sz w:val="22"/>
          <w:szCs w:val="22"/>
        </w:rPr>
        <w:t>t have</w:t>
      </w:r>
      <w:r w:rsidR="001303AD">
        <w:rPr>
          <w:sz w:val="22"/>
          <w:szCs w:val="22"/>
        </w:rPr>
        <w:t xml:space="preserve"> been</w:t>
      </w:r>
      <w:r w:rsidR="001303AD" w:rsidRPr="00C96213">
        <w:rPr>
          <w:sz w:val="22"/>
          <w:szCs w:val="22"/>
        </w:rPr>
        <w:t xml:space="preserve"> </w:t>
      </w:r>
      <w:r w:rsidR="001303AD" w:rsidRPr="00C96213">
        <w:rPr>
          <w:sz w:val="22"/>
          <w:szCs w:val="22"/>
          <w:highlight w:val="yellow"/>
        </w:rPr>
        <w:t>highlighted in yellow</w:t>
      </w:r>
      <w:r w:rsidR="001303AD" w:rsidRPr="008A50BB">
        <w:rPr>
          <w:sz w:val="22"/>
          <w:szCs w:val="22"/>
        </w:rPr>
        <w:t xml:space="preserve"> </w:t>
      </w:r>
      <w:r w:rsidR="001303AD">
        <w:rPr>
          <w:sz w:val="22"/>
          <w:szCs w:val="22"/>
        </w:rPr>
        <w:t>within the permit document</w:t>
      </w:r>
      <w:r w:rsidR="001303AD" w:rsidRPr="00C96213">
        <w:rPr>
          <w:sz w:val="22"/>
          <w:szCs w:val="22"/>
        </w:rPr>
        <w:t>.</w:t>
      </w:r>
      <w:r w:rsidR="001303AD">
        <w:rPr>
          <w:sz w:val="22"/>
          <w:szCs w:val="22"/>
        </w:rPr>
        <w:t xml:space="preserve"> </w:t>
      </w:r>
      <w:r w:rsidR="001303AD">
        <w:rPr>
          <w:sz w:val="22"/>
          <w:szCs w:val="22"/>
        </w:rPr>
        <w:t xml:space="preserve">Deletions are in </w:t>
      </w:r>
      <w:r w:rsidR="00313943" w:rsidRPr="001303AD">
        <w:rPr>
          <w:strike/>
          <w:sz w:val="22"/>
          <w:szCs w:val="22"/>
          <w:highlight w:val="yellow"/>
        </w:rPr>
        <w:t>strike through</w:t>
      </w:r>
      <w:r w:rsidR="00313943" w:rsidRPr="00313943">
        <w:rPr>
          <w:sz w:val="22"/>
          <w:szCs w:val="22"/>
        </w:rPr>
        <w:t xml:space="preserve"> format</w:t>
      </w:r>
      <w:r w:rsidR="00313943" w:rsidRPr="00C96213">
        <w:rPr>
          <w:sz w:val="22"/>
          <w:szCs w:val="22"/>
        </w:rPr>
        <w:t xml:space="preserve"> </w:t>
      </w:r>
      <w:r w:rsidR="001303AD">
        <w:rPr>
          <w:sz w:val="22"/>
          <w:szCs w:val="22"/>
        </w:rPr>
        <w:t>while additions are in</w:t>
      </w:r>
      <w:r w:rsidR="00313943" w:rsidRPr="00C96213">
        <w:rPr>
          <w:sz w:val="22"/>
          <w:szCs w:val="22"/>
        </w:rPr>
        <w:t xml:space="preserve"> </w:t>
      </w:r>
      <w:r w:rsidR="00313943" w:rsidRPr="001303AD">
        <w:rPr>
          <w:sz w:val="22"/>
          <w:szCs w:val="22"/>
          <w:highlight w:val="yellow"/>
          <w:u w:val="double"/>
        </w:rPr>
        <w:t>double underline</w:t>
      </w:r>
      <w:r w:rsidR="001303AD">
        <w:rPr>
          <w:sz w:val="22"/>
          <w:szCs w:val="22"/>
        </w:rPr>
        <w:t xml:space="preserve"> format</w:t>
      </w:r>
      <w:r w:rsidR="00313943" w:rsidRPr="00C96213">
        <w:rPr>
          <w:sz w:val="22"/>
          <w:szCs w:val="22"/>
        </w:rPr>
        <w:t xml:space="preserve">.  </w:t>
      </w:r>
      <w:r w:rsidR="00973148" w:rsidRPr="00BB1149">
        <w:rPr>
          <w:sz w:val="22"/>
          <w:szCs w:val="22"/>
        </w:rPr>
        <w:t>The revisions shown below are the only portions of the permit that are open for public comment or challenge.  Comments received related to the remainder of the permit will not be addressed during this permitting action.</w:t>
      </w:r>
      <w:bookmarkStart w:id="1" w:name="_GoBack"/>
      <w:bookmarkEnd w:id="1"/>
    </w:p>
    <w:p w:rsidR="006A46D3" w:rsidRPr="00424615" w:rsidRDefault="00313943" w:rsidP="00BB1149">
      <w:pPr>
        <w:pStyle w:val="ListParagraph"/>
        <w:numPr>
          <w:ilvl w:val="0"/>
          <w:numId w:val="5"/>
        </w:numPr>
        <w:tabs>
          <w:tab w:val="left" w:pos="360"/>
        </w:tabs>
        <w:spacing w:after="120"/>
        <w:rPr>
          <w:bCs/>
          <w:sz w:val="22"/>
          <w:szCs w:val="22"/>
        </w:rPr>
      </w:pPr>
      <w:r w:rsidRPr="00424615">
        <w:rPr>
          <w:bCs/>
          <w:sz w:val="22"/>
          <w:szCs w:val="22"/>
        </w:rPr>
        <w:lastRenderedPageBreak/>
        <w:t xml:space="preserve">To reflect the change to </w:t>
      </w:r>
      <w:r w:rsidR="00BB1149" w:rsidRPr="00424615">
        <w:rPr>
          <w:bCs/>
          <w:sz w:val="22"/>
          <w:szCs w:val="22"/>
        </w:rPr>
        <w:t>EUs 025 and 026, (Stanton Unit A)</w:t>
      </w:r>
      <w:r w:rsidRPr="00424615">
        <w:rPr>
          <w:bCs/>
          <w:sz w:val="22"/>
          <w:szCs w:val="22"/>
        </w:rPr>
        <w:t xml:space="preserve"> authorized by </w:t>
      </w:r>
      <w:r w:rsidR="00BB1149" w:rsidRPr="00424615">
        <w:rPr>
          <w:bCs/>
          <w:sz w:val="22"/>
          <w:szCs w:val="22"/>
        </w:rPr>
        <w:t>Permit No. 0950137-046-AC</w:t>
      </w:r>
      <w:r w:rsidRPr="00424615">
        <w:rPr>
          <w:bCs/>
          <w:sz w:val="22"/>
          <w:szCs w:val="22"/>
        </w:rPr>
        <w:t>, Specific Condition</w:t>
      </w:r>
      <w:r w:rsidR="00BB1149" w:rsidRPr="00424615">
        <w:rPr>
          <w:bCs/>
          <w:sz w:val="22"/>
          <w:szCs w:val="22"/>
        </w:rPr>
        <w:t>s of Section III, Subsection D</w:t>
      </w:r>
      <w:r w:rsidR="00F52056" w:rsidRPr="00424615">
        <w:rPr>
          <w:bCs/>
          <w:sz w:val="22"/>
          <w:szCs w:val="22"/>
        </w:rPr>
        <w:t>.</w:t>
      </w:r>
      <w:r w:rsidR="00BB1149" w:rsidRPr="00424615">
        <w:rPr>
          <w:bCs/>
          <w:sz w:val="22"/>
          <w:szCs w:val="22"/>
        </w:rPr>
        <w:t xml:space="preserve"> are modified as </w:t>
      </w:r>
      <w:r w:rsidR="00BE39A5" w:rsidRPr="00424615">
        <w:rPr>
          <w:bCs/>
          <w:sz w:val="22"/>
          <w:szCs w:val="22"/>
        </w:rPr>
        <w:t>follows:</w:t>
      </w:r>
    </w:p>
    <w:p w:rsidR="00F52056" w:rsidRPr="00424615" w:rsidRDefault="00F52056" w:rsidP="00590CE6">
      <w:pPr>
        <w:numPr>
          <w:ilvl w:val="0"/>
          <w:numId w:val="9"/>
        </w:numPr>
        <w:tabs>
          <w:tab w:val="left" w:pos="900"/>
        </w:tabs>
        <w:rPr>
          <w:sz w:val="22"/>
          <w:szCs w:val="22"/>
        </w:rPr>
      </w:pPr>
      <w:r w:rsidRPr="00424615">
        <w:rPr>
          <w:sz w:val="22"/>
          <w:szCs w:val="22"/>
          <w:u w:val="single"/>
        </w:rPr>
        <w:t>Permitted Capacity</w:t>
      </w:r>
      <w:r w:rsidRPr="00424615">
        <w:rPr>
          <w:sz w:val="22"/>
          <w:szCs w:val="22"/>
        </w:rPr>
        <w:t>.</w:t>
      </w:r>
    </w:p>
    <w:p w:rsidR="00F52056" w:rsidRPr="00424615" w:rsidRDefault="00F52056" w:rsidP="00F52056">
      <w:pPr>
        <w:numPr>
          <w:ilvl w:val="0"/>
          <w:numId w:val="8"/>
        </w:numPr>
        <w:tabs>
          <w:tab w:val="clear" w:pos="1800"/>
          <w:tab w:val="left" w:pos="360"/>
          <w:tab w:val="left" w:pos="720"/>
          <w:tab w:val="num" w:pos="1080"/>
          <w:tab w:val="num" w:pos="2340"/>
        </w:tabs>
        <w:ind w:left="720" w:firstLine="0"/>
        <w:rPr>
          <w:sz w:val="22"/>
          <w:szCs w:val="22"/>
        </w:rPr>
      </w:pPr>
      <w:r w:rsidRPr="00424615">
        <w:rPr>
          <w:i/>
          <w:sz w:val="22"/>
          <w:szCs w:val="22"/>
          <w:u w:val="single"/>
        </w:rPr>
        <w:t>Combustion Turbine</w:t>
      </w:r>
      <w:r w:rsidRPr="00424615">
        <w:rPr>
          <w:sz w:val="22"/>
          <w:szCs w:val="22"/>
        </w:rPr>
        <w:t xml:space="preserve">.  The maximum heat input rates to each CT/HRSG shall not exceed 2,402 million Btu (HHV) per hour (MMBtu/hr) when firing natural gas with duct burner firing and power augmentation </w:t>
      </w:r>
      <w:r w:rsidRPr="00424615">
        <w:rPr>
          <w:sz w:val="22"/>
          <w:szCs w:val="22"/>
          <w:highlight w:val="yellow"/>
          <w:u w:val="double"/>
        </w:rPr>
        <w:t>or peak fire mode</w:t>
      </w:r>
      <w:r w:rsidRPr="00424615">
        <w:rPr>
          <w:sz w:val="22"/>
          <w:szCs w:val="22"/>
        </w:rPr>
        <w:t xml:space="preserve">.  The maximum heat input rates to each CT/HRSG shall not exceed 2,068 MMBtu/hr (HHV) when firing fuel oil.  Manufacturer’s curves corrected for ISO conditions were provided to the Department of Environmental Protection (DEP) within 45 days prior to the completion of the initial compliance testing.  </w:t>
      </w:r>
    </w:p>
    <w:p w:rsidR="00F52056" w:rsidRPr="00424615" w:rsidRDefault="00F52056" w:rsidP="00F52056">
      <w:pPr>
        <w:numPr>
          <w:ilvl w:val="0"/>
          <w:numId w:val="8"/>
        </w:numPr>
        <w:tabs>
          <w:tab w:val="clear" w:pos="1800"/>
          <w:tab w:val="left" w:pos="360"/>
          <w:tab w:val="left" w:pos="720"/>
          <w:tab w:val="num" w:pos="1080"/>
          <w:tab w:val="num" w:pos="2340"/>
        </w:tabs>
        <w:ind w:left="720" w:firstLine="0"/>
        <w:rPr>
          <w:sz w:val="22"/>
          <w:szCs w:val="22"/>
        </w:rPr>
      </w:pPr>
      <w:r w:rsidRPr="00424615">
        <w:rPr>
          <w:i/>
          <w:sz w:val="22"/>
          <w:szCs w:val="22"/>
          <w:u w:val="single"/>
        </w:rPr>
        <w:t>Heat Recovery Steam Generator equipped with Duct Burner</w:t>
      </w:r>
      <w:r w:rsidRPr="00424615">
        <w:rPr>
          <w:sz w:val="22"/>
          <w:szCs w:val="22"/>
        </w:rPr>
        <w:t xml:space="preserve">.  The maximum heat input rate of the natural gas fired duct burner shall not exceed 533 MMBtu/hour (LHV) (590 MMBtu/hour (HHV)) at any temperature or under any scenario.  </w:t>
      </w:r>
    </w:p>
    <w:p w:rsidR="00F52056" w:rsidRPr="00424615" w:rsidRDefault="00F52056" w:rsidP="00F52056">
      <w:pPr>
        <w:tabs>
          <w:tab w:val="left" w:pos="360"/>
          <w:tab w:val="left" w:pos="720"/>
        </w:tabs>
        <w:spacing w:after="120"/>
        <w:ind w:left="360"/>
        <w:rPr>
          <w:sz w:val="22"/>
          <w:szCs w:val="22"/>
        </w:rPr>
      </w:pPr>
      <w:r w:rsidRPr="00424615">
        <w:rPr>
          <w:sz w:val="22"/>
          <w:szCs w:val="22"/>
        </w:rPr>
        <w:t>[Rule 62-210.200, F.A.C. (Definitions - Potential Emissions); and 0950137-002-AC, Specific Condition</w:t>
      </w:r>
      <w:r w:rsidRPr="00424615">
        <w:rPr>
          <w:strike/>
          <w:sz w:val="22"/>
          <w:szCs w:val="22"/>
          <w:highlight w:val="yellow"/>
        </w:rPr>
        <w:t>s</w:t>
      </w:r>
      <w:r w:rsidRPr="00424615">
        <w:rPr>
          <w:sz w:val="22"/>
          <w:szCs w:val="22"/>
        </w:rPr>
        <w:t xml:space="preserve"> </w:t>
      </w:r>
      <w:r w:rsidRPr="00424615">
        <w:rPr>
          <w:strike/>
          <w:sz w:val="22"/>
          <w:szCs w:val="22"/>
          <w:highlight w:val="yellow"/>
        </w:rPr>
        <w:t>10 and</w:t>
      </w:r>
      <w:r w:rsidRPr="00424615">
        <w:rPr>
          <w:sz w:val="22"/>
          <w:szCs w:val="22"/>
        </w:rPr>
        <w:t xml:space="preserve"> 11</w:t>
      </w:r>
      <w:r w:rsidRPr="00424615">
        <w:rPr>
          <w:sz w:val="22"/>
          <w:szCs w:val="22"/>
          <w:u w:val="double"/>
        </w:rPr>
        <w:t xml:space="preserve"> </w:t>
      </w:r>
      <w:r w:rsidRPr="00424615">
        <w:rPr>
          <w:sz w:val="22"/>
          <w:szCs w:val="22"/>
          <w:highlight w:val="yellow"/>
          <w:u w:val="double"/>
        </w:rPr>
        <w:t>and 0950137-046-AC, Specific Condition 2</w:t>
      </w:r>
      <w:r w:rsidRPr="00424615">
        <w:rPr>
          <w:sz w:val="22"/>
          <w:szCs w:val="22"/>
        </w:rPr>
        <w:t>.]</w:t>
      </w:r>
    </w:p>
    <w:p w:rsidR="00F52056" w:rsidRPr="00424615" w:rsidRDefault="00F52056" w:rsidP="00F52056">
      <w:pPr>
        <w:tabs>
          <w:tab w:val="left" w:pos="360"/>
        </w:tabs>
        <w:autoSpaceDE w:val="0"/>
        <w:autoSpaceDN w:val="0"/>
        <w:adjustRightInd w:val="0"/>
        <w:spacing w:after="120"/>
        <w:ind w:left="360"/>
        <w:rPr>
          <w:i/>
          <w:sz w:val="22"/>
          <w:szCs w:val="22"/>
        </w:rPr>
      </w:pPr>
      <w:r w:rsidRPr="00424615">
        <w:rPr>
          <w:i/>
          <w:sz w:val="22"/>
          <w:szCs w:val="22"/>
        </w:rPr>
        <w:t xml:space="preserve">{Permitting note:  Heat input capacity shall be determined by CEMS database used for the acid rain program.  CEMS data availability shall meet 40 CFR Part 75 requirements at greater than 95% of the time. Only valid hourly data shall be used to determine compliance with this provision. The source shall maintain this database for up to 5 years and make the information available upon request by the Department.} </w:t>
      </w:r>
    </w:p>
    <w:p w:rsidR="00590CE6" w:rsidRPr="00424615" w:rsidRDefault="00590CE6" w:rsidP="00590CE6">
      <w:pPr>
        <w:numPr>
          <w:ilvl w:val="0"/>
          <w:numId w:val="11"/>
        </w:numPr>
        <w:tabs>
          <w:tab w:val="left" w:pos="990"/>
        </w:tabs>
        <w:rPr>
          <w:sz w:val="22"/>
          <w:szCs w:val="22"/>
        </w:rPr>
      </w:pPr>
      <w:bookmarkStart w:id="2" w:name="_Ref451940117"/>
      <w:r w:rsidRPr="00424615">
        <w:rPr>
          <w:sz w:val="22"/>
          <w:szCs w:val="22"/>
          <w:u w:val="single"/>
        </w:rPr>
        <w:t>Nitrogen Oxides (NO</w:t>
      </w:r>
      <w:r w:rsidRPr="00424615">
        <w:rPr>
          <w:sz w:val="22"/>
          <w:szCs w:val="22"/>
          <w:u w:val="single"/>
          <w:vertAlign w:val="subscript"/>
        </w:rPr>
        <w:t>x</w:t>
      </w:r>
      <w:r w:rsidRPr="00424615">
        <w:rPr>
          <w:sz w:val="22"/>
          <w:szCs w:val="22"/>
          <w:u w:val="single"/>
        </w:rPr>
        <w:t>) and Ammonia Emissions</w:t>
      </w:r>
      <w:r w:rsidRPr="00424615">
        <w:rPr>
          <w:sz w:val="22"/>
          <w:szCs w:val="22"/>
        </w:rPr>
        <w:t>.</w:t>
      </w:r>
      <w:bookmarkEnd w:id="2"/>
    </w:p>
    <w:p w:rsidR="00590CE6" w:rsidRPr="00424615" w:rsidRDefault="00590CE6" w:rsidP="00590CE6">
      <w:pPr>
        <w:numPr>
          <w:ilvl w:val="0"/>
          <w:numId w:val="10"/>
        </w:numPr>
        <w:tabs>
          <w:tab w:val="left" w:pos="360"/>
          <w:tab w:val="left" w:pos="720"/>
        </w:tabs>
        <w:rPr>
          <w:sz w:val="22"/>
          <w:szCs w:val="22"/>
        </w:rPr>
      </w:pPr>
      <w:r w:rsidRPr="00424615">
        <w:rPr>
          <w:sz w:val="22"/>
          <w:szCs w:val="22"/>
        </w:rPr>
        <w:t>The concentration of NO</w:t>
      </w:r>
      <w:r w:rsidRPr="00424615">
        <w:rPr>
          <w:sz w:val="22"/>
          <w:szCs w:val="22"/>
          <w:vertAlign w:val="subscript"/>
        </w:rPr>
        <w:t>x</w:t>
      </w:r>
      <w:r w:rsidRPr="00424615">
        <w:rPr>
          <w:sz w:val="22"/>
          <w:szCs w:val="22"/>
        </w:rPr>
        <w:t xml:space="preserve"> in the stack exhaust gas, with the combustion turbine operating on natural gas, shall not exceed 3.5 ppmvd @15% O</w:t>
      </w:r>
      <w:r w:rsidRPr="00424615">
        <w:rPr>
          <w:sz w:val="22"/>
          <w:szCs w:val="22"/>
          <w:vertAlign w:val="subscript"/>
        </w:rPr>
        <w:t>2</w:t>
      </w:r>
      <w:r w:rsidRPr="00424615">
        <w:rPr>
          <w:sz w:val="22"/>
          <w:szCs w:val="22"/>
        </w:rPr>
        <w:t xml:space="preserve"> on a 3-hour block average.  This limit shall apply whether or not the unit is operating with duct burner on and/or in power augmentation mode</w:t>
      </w:r>
      <w:r w:rsidRPr="00424615">
        <w:rPr>
          <w:sz w:val="22"/>
          <w:szCs w:val="22"/>
          <w:highlight w:val="yellow"/>
          <w:u w:val="double"/>
        </w:rPr>
        <w:t xml:space="preserve"> or peak fire mode</w:t>
      </w:r>
      <w:r w:rsidRPr="00424615">
        <w:rPr>
          <w:sz w:val="22"/>
          <w:szCs w:val="22"/>
        </w:rPr>
        <w:t>.  Compliance shall be determined by the continuous emission monitor (CEMS).</w:t>
      </w:r>
    </w:p>
    <w:p w:rsidR="00590CE6" w:rsidRPr="00424615" w:rsidRDefault="00590CE6" w:rsidP="00590CE6">
      <w:pPr>
        <w:numPr>
          <w:ilvl w:val="0"/>
          <w:numId w:val="10"/>
        </w:numPr>
        <w:tabs>
          <w:tab w:val="left" w:pos="360"/>
          <w:tab w:val="left" w:pos="720"/>
        </w:tabs>
        <w:rPr>
          <w:sz w:val="22"/>
          <w:szCs w:val="22"/>
        </w:rPr>
      </w:pPr>
      <w:r w:rsidRPr="00424615">
        <w:rPr>
          <w:sz w:val="22"/>
          <w:szCs w:val="22"/>
        </w:rPr>
        <w:t>The emissions of NO</w:t>
      </w:r>
      <w:r w:rsidRPr="00424615">
        <w:rPr>
          <w:sz w:val="22"/>
          <w:szCs w:val="22"/>
          <w:vertAlign w:val="subscript"/>
        </w:rPr>
        <w:t>x</w:t>
      </w:r>
      <w:r w:rsidRPr="00424615">
        <w:rPr>
          <w:sz w:val="22"/>
          <w:szCs w:val="22"/>
        </w:rPr>
        <w:t xml:space="preserve"> in the stack exhaust gas, with the combustion turbine operating on fuel oil shall not exceed 10.0 ppmvd @15% O2 on a 3-hour block average.  Compliance shall be determined by the continuous emission monitor (CEMS).</w:t>
      </w:r>
    </w:p>
    <w:p w:rsidR="00590CE6" w:rsidRPr="00424615" w:rsidRDefault="00590CE6" w:rsidP="00590CE6">
      <w:pPr>
        <w:numPr>
          <w:ilvl w:val="0"/>
          <w:numId w:val="10"/>
        </w:numPr>
        <w:tabs>
          <w:tab w:val="left" w:pos="360"/>
          <w:tab w:val="left" w:pos="720"/>
        </w:tabs>
        <w:rPr>
          <w:sz w:val="22"/>
          <w:szCs w:val="22"/>
        </w:rPr>
      </w:pPr>
      <w:r w:rsidRPr="00424615">
        <w:rPr>
          <w:sz w:val="22"/>
          <w:szCs w:val="22"/>
        </w:rPr>
        <w:t>Emissions of NO</w:t>
      </w:r>
      <w:r w:rsidRPr="00424615">
        <w:rPr>
          <w:sz w:val="22"/>
          <w:szCs w:val="22"/>
          <w:vertAlign w:val="subscript"/>
        </w:rPr>
        <w:t>x</w:t>
      </w:r>
      <w:r w:rsidRPr="00424615">
        <w:rPr>
          <w:sz w:val="22"/>
          <w:szCs w:val="22"/>
        </w:rPr>
        <w:t xml:space="preserve"> from the duct burner shall not exceed 0.1 lb/MMBtu, which is more stringent than the </w:t>
      </w:r>
      <w:proofErr w:type="gramStart"/>
      <w:r w:rsidRPr="00424615">
        <w:rPr>
          <w:sz w:val="22"/>
          <w:szCs w:val="22"/>
        </w:rPr>
        <w:t>NSPS .</w:t>
      </w:r>
      <w:proofErr w:type="gramEnd"/>
    </w:p>
    <w:p w:rsidR="00590CE6" w:rsidRPr="00424615" w:rsidRDefault="00590CE6" w:rsidP="00590CE6">
      <w:pPr>
        <w:numPr>
          <w:ilvl w:val="0"/>
          <w:numId w:val="10"/>
        </w:numPr>
        <w:tabs>
          <w:tab w:val="left" w:pos="360"/>
          <w:tab w:val="left" w:pos="720"/>
        </w:tabs>
        <w:rPr>
          <w:sz w:val="22"/>
          <w:szCs w:val="22"/>
        </w:rPr>
      </w:pPr>
      <w:r w:rsidRPr="00424615">
        <w:rPr>
          <w:sz w:val="22"/>
          <w:szCs w:val="22"/>
        </w:rPr>
        <w:t xml:space="preserve">The concentration of ammonia in the exhaust gas from each CT/HRSG shall not exceed 5.0 ppmvd @15% O2.  </w:t>
      </w:r>
    </w:p>
    <w:p w:rsidR="00590CE6" w:rsidRPr="00424615" w:rsidRDefault="00590CE6" w:rsidP="00590CE6">
      <w:pPr>
        <w:tabs>
          <w:tab w:val="left" w:pos="360"/>
        </w:tabs>
        <w:spacing w:after="120"/>
        <w:ind w:left="360"/>
        <w:rPr>
          <w:color w:val="000000"/>
          <w:sz w:val="22"/>
          <w:szCs w:val="22"/>
        </w:rPr>
      </w:pPr>
      <w:r w:rsidRPr="00424615">
        <w:rPr>
          <w:color w:val="000000"/>
          <w:sz w:val="22"/>
          <w:szCs w:val="22"/>
        </w:rPr>
        <w:t xml:space="preserve">[BACT Determination; </w:t>
      </w:r>
      <w:r w:rsidRPr="00424615">
        <w:rPr>
          <w:sz w:val="22"/>
          <w:szCs w:val="22"/>
        </w:rPr>
        <w:t xml:space="preserve">Rules 62-4.070, 62-204.800(8), 62-212.400, and 62-4.070, F.A.C.; and </w:t>
      </w:r>
      <w:r w:rsidRPr="00424615">
        <w:rPr>
          <w:color w:val="000000"/>
          <w:sz w:val="22"/>
          <w:szCs w:val="22"/>
        </w:rPr>
        <w:t>0950137-</w:t>
      </w:r>
      <w:r w:rsidRPr="00424615">
        <w:rPr>
          <w:strike/>
          <w:color w:val="000000"/>
          <w:sz w:val="22"/>
          <w:szCs w:val="22"/>
          <w:highlight w:val="yellow"/>
        </w:rPr>
        <w:t>002</w:t>
      </w:r>
      <w:r w:rsidRPr="00424615">
        <w:rPr>
          <w:strike/>
          <w:color w:val="000000"/>
          <w:sz w:val="22"/>
          <w:szCs w:val="22"/>
        </w:rPr>
        <w:t xml:space="preserve"> </w:t>
      </w:r>
      <w:r w:rsidRPr="00424615">
        <w:rPr>
          <w:color w:val="000000"/>
          <w:sz w:val="22"/>
          <w:szCs w:val="22"/>
          <w:highlight w:val="yellow"/>
          <w:u w:val="double"/>
        </w:rPr>
        <w:t>046</w:t>
      </w:r>
      <w:r w:rsidRPr="00424615">
        <w:rPr>
          <w:color w:val="000000"/>
          <w:sz w:val="22"/>
          <w:szCs w:val="22"/>
        </w:rPr>
        <w:t xml:space="preserve">-AC, Specific Condition </w:t>
      </w:r>
      <w:r w:rsidRPr="00424615">
        <w:rPr>
          <w:strike/>
          <w:color w:val="000000"/>
          <w:sz w:val="22"/>
          <w:szCs w:val="22"/>
          <w:highlight w:val="yellow"/>
        </w:rPr>
        <w:t>21</w:t>
      </w:r>
      <w:r w:rsidRPr="00424615">
        <w:rPr>
          <w:color w:val="000000"/>
          <w:sz w:val="22"/>
          <w:szCs w:val="22"/>
        </w:rPr>
        <w:t xml:space="preserve"> </w:t>
      </w:r>
      <w:r w:rsidRPr="00424615">
        <w:rPr>
          <w:color w:val="000000"/>
          <w:sz w:val="22"/>
          <w:szCs w:val="22"/>
          <w:highlight w:val="yellow"/>
          <w:u w:val="double"/>
        </w:rPr>
        <w:t>3</w:t>
      </w:r>
      <w:r w:rsidRPr="00424615">
        <w:rPr>
          <w:color w:val="000000"/>
          <w:sz w:val="22"/>
          <w:szCs w:val="22"/>
        </w:rPr>
        <w:t>.]</w:t>
      </w:r>
    </w:p>
    <w:p w:rsidR="00590CE6" w:rsidRPr="00424615" w:rsidRDefault="00590CE6" w:rsidP="00590CE6">
      <w:pPr>
        <w:numPr>
          <w:ilvl w:val="0"/>
          <w:numId w:val="12"/>
        </w:numPr>
        <w:tabs>
          <w:tab w:val="left" w:pos="990"/>
        </w:tabs>
        <w:spacing w:after="120"/>
        <w:ind w:hanging="360"/>
        <w:rPr>
          <w:sz w:val="22"/>
          <w:szCs w:val="22"/>
        </w:rPr>
      </w:pPr>
      <w:r w:rsidRPr="00424615">
        <w:rPr>
          <w:sz w:val="22"/>
          <w:szCs w:val="22"/>
          <w:u w:val="single"/>
        </w:rPr>
        <w:t>Volatile Organic Compounds (VOC) Emissions</w:t>
      </w:r>
      <w:r w:rsidRPr="00424615">
        <w:rPr>
          <w:sz w:val="22"/>
          <w:szCs w:val="22"/>
        </w:rPr>
        <w:t>.  Emissions of VOC in the stack exhaust gas (baseload at ISO conditions) shall not exceed 2.7 ppmvd @15% O</w:t>
      </w:r>
      <w:r w:rsidRPr="00424615">
        <w:rPr>
          <w:sz w:val="22"/>
          <w:szCs w:val="22"/>
          <w:vertAlign w:val="subscript"/>
        </w:rPr>
        <w:t xml:space="preserve">2 </w:t>
      </w:r>
      <w:r w:rsidRPr="00424615">
        <w:rPr>
          <w:sz w:val="22"/>
          <w:szCs w:val="22"/>
        </w:rPr>
        <w:t>with the CT firing fuel oil or 6.3 ppmvd @15% O</w:t>
      </w:r>
      <w:r w:rsidRPr="00424615">
        <w:rPr>
          <w:sz w:val="22"/>
          <w:szCs w:val="22"/>
          <w:vertAlign w:val="subscript"/>
        </w:rPr>
        <w:t>2</w:t>
      </w:r>
      <w:r w:rsidRPr="00424615">
        <w:rPr>
          <w:sz w:val="22"/>
          <w:szCs w:val="22"/>
        </w:rPr>
        <w:t xml:space="preserve"> with the CT firing natural gas (with maximum duct burner firing and operating in power augmentation mode</w:t>
      </w:r>
      <w:r w:rsidRPr="00424615">
        <w:rPr>
          <w:sz w:val="22"/>
          <w:szCs w:val="22"/>
          <w:highlight w:val="yellow"/>
          <w:u w:val="double"/>
        </w:rPr>
        <w:t xml:space="preserve"> or peak fire mode</w:t>
      </w:r>
      <w:r w:rsidRPr="00424615">
        <w:rPr>
          <w:sz w:val="22"/>
          <w:szCs w:val="22"/>
        </w:rPr>
        <w:t>).  [BACT Determination; Rule 62-212.400, F.A.C.; and 0950137-</w:t>
      </w:r>
      <w:r w:rsidRPr="00424615">
        <w:rPr>
          <w:strike/>
          <w:color w:val="000000"/>
          <w:sz w:val="22"/>
          <w:szCs w:val="22"/>
          <w:highlight w:val="yellow"/>
        </w:rPr>
        <w:t>002</w:t>
      </w:r>
      <w:r w:rsidRPr="00424615">
        <w:rPr>
          <w:strike/>
          <w:color w:val="000000"/>
          <w:sz w:val="22"/>
          <w:szCs w:val="22"/>
        </w:rPr>
        <w:t xml:space="preserve"> </w:t>
      </w:r>
      <w:r w:rsidRPr="00424615">
        <w:rPr>
          <w:color w:val="000000"/>
          <w:sz w:val="22"/>
          <w:szCs w:val="22"/>
          <w:highlight w:val="yellow"/>
          <w:u w:val="double"/>
        </w:rPr>
        <w:t>046</w:t>
      </w:r>
      <w:r w:rsidRPr="00424615">
        <w:rPr>
          <w:sz w:val="22"/>
          <w:szCs w:val="22"/>
        </w:rPr>
        <w:t xml:space="preserve">-AC, Specific Condition </w:t>
      </w:r>
      <w:r w:rsidRPr="00424615">
        <w:rPr>
          <w:strike/>
          <w:color w:val="000000"/>
          <w:sz w:val="22"/>
          <w:szCs w:val="22"/>
          <w:highlight w:val="yellow"/>
        </w:rPr>
        <w:t>23</w:t>
      </w:r>
      <w:r w:rsidRPr="00424615">
        <w:rPr>
          <w:color w:val="000000"/>
          <w:sz w:val="22"/>
          <w:szCs w:val="22"/>
        </w:rPr>
        <w:t xml:space="preserve"> </w:t>
      </w:r>
      <w:r w:rsidRPr="00424615">
        <w:rPr>
          <w:color w:val="000000"/>
          <w:sz w:val="22"/>
          <w:szCs w:val="22"/>
          <w:highlight w:val="yellow"/>
          <w:u w:val="double"/>
        </w:rPr>
        <w:t>4</w:t>
      </w:r>
      <w:r w:rsidRPr="00424615">
        <w:rPr>
          <w:sz w:val="22"/>
          <w:szCs w:val="22"/>
        </w:rPr>
        <w:t>.]</w:t>
      </w:r>
    </w:p>
    <w:p w:rsidR="00590CE6" w:rsidRPr="00424615" w:rsidRDefault="00590CE6" w:rsidP="00590CE6">
      <w:pPr>
        <w:numPr>
          <w:ilvl w:val="0"/>
          <w:numId w:val="13"/>
        </w:numPr>
        <w:tabs>
          <w:tab w:val="left" w:pos="990"/>
        </w:tabs>
        <w:spacing w:after="120"/>
        <w:ind w:hanging="360"/>
        <w:rPr>
          <w:sz w:val="22"/>
          <w:szCs w:val="22"/>
        </w:rPr>
      </w:pPr>
      <w:r w:rsidRPr="00424615">
        <w:rPr>
          <w:sz w:val="22"/>
          <w:szCs w:val="22"/>
          <w:u w:val="single"/>
        </w:rPr>
        <w:t>Annual</w:t>
      </w:r>
      <w:r w:rsidRPr="00424615">
        <w:rPr>
          <w:b/>
          <w:sz w:val="22"/>
          <w:szCs w:val="22"/>
          <w:u w:val="single"/>
        </w:rPr>
        <w:t xml:space="preserve"> </w:t>
      </w:r>
      <w:r w:rsidRPr="00424615">
        <w:rPr>
          <w:sz w:val="22"/>
          <w:szCs w:val="22"/>
          <w:u w:val="single"/>
        </w:rPr>
        <w:t>Compliance Tests Required</w:t>
      </w:r>
      <w:r w:rsidRPr="00424615">
        <w:rPr>
          <w:sz w:val="22"/>
          <w:szCs w:val="22"/>
        </w:rPr>
        <w:t xml:space="preserve">.  During each </w:t>
      </w:r>
      <w:r w:rsidRPr="00424615">
        <w:rPr>
          <w:strike/>
          <w:sz w:val="22"/>
          <w:szCs w:val="22"/>
          <w:highlight w:val="yellow"/>
        </w:rPr>
        <w:t>federal fiscal</w:t>
      </w:r>
      <w:r w:rsidRPr="00424615">
        <w:rPr>
          <w:sz w:val="22"/>
          <w:szCs w:val="22"/>
          <w:highlight w:val="yellow"/>
        </w:rPr>
        <w:t xml:space="preserve"> </w:t>
      </w:r>
      <w:r w:rsidRPr="00424615">
        <w:rPr>
          <w:sz w:val="22"/>
          <w:szCs w:val="22"/>
          <w:highlight w:val="yellow"/>
          <w:u w:val="double"/>
        </w:rPr>
        <w:t>calendar</w:t>
      </w:r>
      <w:r w:rsidRPr="00424615">
        <w:rPr>
          <w:sz w:val="22"/>
          <w:szCs w:val="22"/>
        </w:rPr>
        <w:t xml:space="preserve"> year </w:t>
      </w:r>
      <w:r w:rsidRPr="00424615">
        <w:rPr>
          <w:sz w:val="22"/>
          <w:szCs w:val="22"/>
          <w:highlight w:val="yellow"/>
        </w:rPr>
        <w:t>(</w:t>
      </w:r>
      <w:r w:rsidRPr="00424615">
        <w:rPr>
          <w:strike/>
          <w:sz w:val="22"/>
          <w:szCs w:val="22"/>
          <w:highlight w:val="yellow"/>
        </w:rPr>
        <w:t>October 1</w:t>
      </w:r>
      <w:r w:rsidRPr="00424615">
        <w:rPr>
          <w:strike/>
          <w:sz w:val="22"/>
          <w:szCs w:val="22"/>
          <w:highlight w:val="yellow"/>
          <w:vertAlign w:val="superscript"/>
        </w:rPr>
        <w:t>st</w:t>
      </w:r>
      <w:r w:rsidRPr="00424615">
        <w:rPr>
          <w:strike/>
          <w:sz w:val="22"/>
          <w:szCs w:val="22"/>
          <w:highlight w:val="yellow"/>
        </w:rPr>
        <w:t xml:space="preserve"> to September 30</w:t>
      </w:r>
      <w:r w:rsidRPr="00424615">
        <w:rPr>
          <w:strike/>
          <w:sz w:val="22"/>
          <w:szCs w:val="22"/>
          <w:highlight w:val="yellow"/>
          <w:vertAlign w:val="superscript"/>
        </w:rPr>
        <w:t>th</w:t>
      </w:r>
      <w:r w:rsidRPr="00424615">
        <w:rPr>
          <w:sz w:val="22"/>
          <w:szCs w:val="22"/>
        </w:rPr>
        <w:t xml:space="preserve"> </w:t>
      </w:r>
      <w:r w:rsidRPr="00424615">
        <w:rPr>
          <w:sz w:val="22"/>
          <w:szCs w:val="22"/>
          <w:highlight w:val="yellow"/>
        </w:rPr>
        <w:t>January 1</w:t>
      </w:r>
      <w:r w:rsidRPr="00424615">
        <w:rPr>
          <w:sz w:val="22"/>
          <w:szCs w:val="22"/>
          <w:highlight w:val="yellow"/>
          <w:vertAlign w:val="superscript"/>
        </w:rPr>
        <w:t>st</w:t>
      </w:r>
      <w:r w:rsidRPr="00424615">
        <w:rPr>
          <w:sz w:val="22"/>
          <w:szCs w:val="22"/>
          <w:highlight w:val="yellow"/>
        </w:rPr>
        <w:t xml:space="preserve"> to December 31</w:t>
      </w:r>
      <w:r w:rsidRPr="00424615">
        <w:rPr>
          <w:sz w:val="22"/>
          <w:szCs w:val="22"/>
          <w:highlight w:val="yellow"/>
          <w:vertAlign w:val="superscript"/>
        </w:rPr>
        <w:t>st</w:t>
      </w:r>
      <w:r w:rsidRPr="00424615">
        <w:rPr>
          <w:sz w:val="22"/>
          <w:szCs w:val="22"/>
          <w:highlight w:val="yellow"/>
        </w:rPr>
        <w:t>)</w:t>
      </w:r>
      <w:r w:rsidRPr="00424615">
        <w:rPr>
          <w:sz w:val="22"/>
          <w:szCs w:val="22"/>
        </w:rPr>
        <w:t xml:space="preserve">, each EU shall be tested to demonstrate compliance with the emissions standards for visible emissions, carbon monoxide, and nitrogen oxides.  </w:t>
      </w:r>
      <w:r w:rsidRPr="00424615">
        <w:rPr>
          <w:strike/>
          <w:sz w:val="22"/>
          <w:szCs w:val="22"/>
          <w:highlight w:val="yellow"/>
        </w:rPr>
        <w:t xml:space="preserve">The </w:t>
      </w:r>
      <w:r w:rsidRPr="00424615">
        <w:rPr>
          <w:rFonts w:eastAsia="Calibri"/>
          <w:strike/>
          <w:sz w:val="22"/>
          <w:szCs w:val="22"/>
          <w:highlight w:val="yellow"/>
        </w:rPr>
        <w:t>Relative Accuracy Test Audits (RATA) for NO</w:t>
      </w:r>
      <w:r w:rsidRPr="00424615">
        <w:rPr>
          <w:rFonts w:eastAsia="Calibri"/>
          <w:strike/>
          <w:sz w:val="22"/>
          <w:szCs w:val="22"/>
          <w:highlight w:val="yellow"/>
          <w:vertAlign w:val="subscript"/>
        </w:rPr>
        <w:t>X</w:t>
      </w:r>
      <w:r w:rsidRPr="00424615">
        <w:rPr>
          <w:rFonts w:eastAsia="Calibri"/>
          <w:strike/>
          <w:sz w:val="22"/>
          <w:szCs w:val="22"/>
          <w:highlight w:val="yellow"/>
        </w:rPr>
        <w:t xml:space="preserve"> and CO CEMS may be used in lieu of annual stack testing for these pollutants.</w:t>
      </w:r>
      <w:r w:rsidRPr="00424615">
        <w:rPr>
          <w:rFonts w:eastAsia="Calibri"/>
          <w:sz w:val="22"/>
          <w:szCs w:val="22"/>
        </w:rPr>
        <w:t xml:space="preserve">  </w:t>
      </w:r>
      <w:r w:rsidRPr="00424615">
        <w:rPr>
          <w:rFonts w:eastAsia="Calibri"/>
          <w:sz w:val="22"/>
          <w:szCs w:val="22"/>
          <w:highlight w:val="yellow"/>
          <w:u w:val="double"/>
        </w:rPr>
        <w:t>No annual stack test is required for NOx and CO so long as NOx and CO CEMS are utilized that meet the applicable quality assurance and quality control requirements of 40 CFR Part 60 and Part 75.</w:t>
      </w:r>
      <w:r w:rsidRPr="00424615">
        <w:rPr>
          <w:rFonts w:eastAsia="Calibri"/>
          <w:sz w:val="22"/>
          <w:szCs w:val="22"/>
        </w:rPr>
        <w:t xml:space="preserve">   A VE tests is not required when firing fuel oil so long as total fuel oil firing during the fiscal year is less than 400 hours.  An annual VE test is required when firing the primary fuel.  Ammonia Slip testing while firing the primary fuel is required prior to the renewal of each operation permit.</w:t>
      </w:r>
      <w:r w:rsidRPr="00424615">
        <w:rPr>
          <w:sz w:val="22"/>
          <w:szCs w:val="22"/>
        </w:rPr>
        <w:t xml:space="preserve"> [Rule 62-297.310(</w:t>
      </w:r>
      <w:r w:rsidRPr="00424615">
        <w:rPr>
          <w:strike/>
          <w:sz w:val="22"/>
          <w:szCs w:val="22"/>
          <w:highlight w:val="yellow"/>
        </w:rPr>
        <w:t>7</w:t>
      </w:r>
      <w:r w:rsidRPr="00424615">
        <w:rPr>
          <w:sz w:val="22"/>
          <w:szCs w:val="22"/>
        </w:rPr>
        <w:t xml:space="preserve"> </w:t>
      </w:r>
      <w:r w:rsidRPr="00424615">
        <w:rPr>
          <w:sz w:val="22"/>
          <w:szCs w:val="22"/>
          <w:highlight w:val="yellow"/>
          <w:u w:val="double"/>
        </w:rPr>
        <w:t>8</w:t>
      </w:r>
      <w:r w:rsidRPr="00424615">
        <w:rPr>
          <w:sz w:val="22"/>
          <w:szCs w:val="22"/>
        </w:rPr>
        <w:t>), F.A.C.; and Permit No.0950137-</w:t>
      </w:r>
      <w:r w:rsidRPr="00424615">
        <w:rPr>
          <w:strike/>
          <w:sz w:val="22"/>
          <w:szCs w:val="22"/>
          <w:highlight w:val="yellow"/>
        </w:rPr>
        <w:t>043</w:t>
      </w:r>
      <w:r w:rsidRPr="00424615">
        <w:rPr>
          <w:strike/>
          <w:sz w:val="22"/>
          <w:szCs w:val="22"/>
        </w:rPr>
        <w:t xml:space="preserve"> </w:t>
      </w:r>
      <w:r w:rsidRPr="00424615">
        <w:rPr>
          <w:sz w:val="22"/>
          <w:szCs w:val="22"/>
          <w:highlight w:val="yellow"/>
          <w:u w:val="double"/>
        </w:rPr>
        <w:t>046</w:t>
      </w:r>
      <w:r w:rsidRPr="00424615">
        <w:rPr>
          <w:sz w:val="22"/>
          <w:szCs w:val="22"/>
        </w:rPr>
        <w:t xml:space="preserve">-AC, Specific Condition </w:t>
      </w:r>
      <w:r w:rsidRPr="00424615">
        <w:rPr>
          <w:strike/>
          <w:sz w:val="22"/>
          <w:szCs w:val="22"/>
          <w:highlight w:val="yellow"/>
        </w:rPr>
        <w:t>3</w:t>
      </w:r>
      <w:r w:rsidRPr="00424615">
        <w:rPr>
          <w:sz w:val="22"/>
          <w:szCs w:val="22"/>
        </w:rPr>
        <w:t xml:space="preserve"> </w:t>
      </w:r>
      <w:r w:rsidRPr="00424615">
        <w:rPr>
          <w:sz w:val="22"/>
          <w:szCs w:val="22"/>
          <w:highlight w:val="yellow"/>
          <w:u w:val="double"/>
        </w:rPr>
        <w:t>6</w:t>
      </w:r>
      <w:r w:rsidRPr="00424615">
        <w:rPr>
          <w:sz w:val="22"/>
          <w:szCs w:val="22"/>
        </w:rPr>
        <w:t>.]</w:t>
      </w:r>
      <w:r w:rsidR="00655675" w:rsidRPr="00424615">
        <w:rPr>
          <w:sz w:val="22"/>
          <w:szCs w:val="22"/>
        </w:rPr>
        <w:t xml:space="preserve"> </w:t>
      </w:r>
    </w:p>
    <w:p w:rsidR="00590CE6" w:rsidRPr="00424615" w:rsidRDefault="00590CE6" w:rsidP="00590CE6">
      <w:pPr>
        <w:numPr>
          <w:ilvl w:val="0"/>
          <w:numId w:val="13"/>
        </w:numPr>
        <w:tabs>
          <w:tab w:val="left" w:pos="990"/>
        </w:tabs>
        <w:spacing w:after="120"/>
        <w:ind w:hanging="360"/>
        <w:rPr>
          <w:sz w:val="22"/>
          <w:szCs w:val="22"/>
        </w:rPr>
      </w:pPr>
      <w:r w:rsidRPr="00424615">
        <w:rPr>
          <w:sz w:val="22"/>
          <w:szCs w:val="22"/>
          <w:u w:val="single"/>
        </w:rPr>
        <w:lastRenderedPageBreak/>
        <w:t>Compliance Tests Prior To Renewal</w:t>
      </w:r>
      <w:r w:rsidRPr="00424615">
        <w:rPr>
          <w:sz w:val="22"/>
          <w:szCs w:val="22"/>
        </w:rPr>
        <w:t>.  Compliance tests shall be performed for visible emissions, carbon monoxide, nitrogen oxides,</w:t>
      </w:r>
      <w:r w:rsidRPr="00424615">
        <w:rPr>
          <w:sz w:val="22"/>
          <w:szCs w:val="22"/>
          <w:u w:val="double"/>
        </w:rPr>
        <w:t xml:space="preserve"> </w:t>
      </w:r>
      <w:r w:rsidRPr="00424615">
        <w:rPr>
          <w:sz w:val="22"/>
          <w:szCs w:val="22"/>
          <w:highlight w:val="yellow"/>
          <w:u w:val="double"/>
        </w:rPr>
        <w:t>and</w:t>
      </w:r>
      <w:r w:rsidRPr="00424615">
        <w:rPr>
          <w:sz w:val="22"/>
          <w:szCs w:val="22"/>
        </w:rPr>
        <w:t xml:space="preserve"> ammonia slip </w:t>
      </w:r>
      <w:r w:rsidRPr="00424615">
        <w:rPr>
          <w:strike/>
          <w:sz w:val="22"/>
          <w:szCs w:val="22"/>
          <w:highlight w:val="yellow"/>
        </w:rPr>
        <w:t>and volatile organic compounds</w:t>
      </w:r>
      <w:r w:rsidRPr="00424615">
        <w:rPr>
          <w:sz w:val="22"/>
          <w:szCs w:val="22"/>
        </w:rPr>
        <w:t xml:space="preserve"> once every 5 years.</w:t>
      </w:r>
      <w:r w:rsidRPr="00424615">
        <w:rPr>
          <w:sz w:val="22"/>
          <w:szCs w:val="22"/>
          <w:highlight w:val="yellow"/>
          <w:u w:val="double"/>
        </w:rPr>
        <w:t xml:space="preserve">  No annual stack test is required for NOx and CO so long as NOx and CO CEMS are utilized that meet the applicable quality assurance and quality control requirements of 40 CFR Part 60 and Part 75.  Tests shall not be required for any unit with emissions generated solely from the combustion of fuel oil provided that during the previous permit cycle, the unit did not burn any fuel oil for more than 400 hours, other than during startup, during each calendar year included in the five-year period of permitted operation.</w:t>
      </w:r>
      <w:r w:rsidRPr="00424615">
        <w:rPr>
          <w:sz w:val="22"/>
          <w:szCs w:val="22"/>
        </w:rPr>
        <w:t xml:space="preserve">  The tests shall occur prior to obtaining a renewed operating permit to demonstrate compliance with the emission limits in Specific Conditions </w:t>
      </w:r>
      <w:r w:rsidRPr="00424615">
        <w:rPr>
          <w:b/>
          <w:sz w:val="22"/>
          <w:szCs w:val="22"/>
        </w:rPr>
        <w:t xml:space="preserve">D.13 - D.17. </w:t>
      </w:r>
      <w:r w:rsidRPr="00424615">
        <w:rPr>
          <w:sz w:val="22"/>
          <w:szCs w:val="22"/>
        </w:rPr>
        <w:t xml:space="preserve"> [Rules 62-210.300(2)(a) and 62-297.310(</w:t>
      </w:r>
      <w:r w:rsidRPr="00424615">
        <w:rPr>
          <w:strike/>
          <w:sz w:val="22"/>
          <w:szCs w:val="22"/>
          <w:highlight w:val="yellow"/>
        </w:rPr>
        <w:t>7</w:t>
      </w:r>
      <w:r w:rsidRPr="00424615">
        <w:rPr>
          <w:sz w:val="22"/>
          <w:szCs w:val="22"/>
        </w:rPr>
        <w:t xml:space="preserve"> </w:t>
      </w:r>
      <w:r w:rsidRPr="00424615">
        <w:rPr>
          <w:sz w:val="22"/>
          <w:szCs w:val="22"/>
          <w:highlight w:val="yellow"/>
          <w:u w:val="double"/>
        </w:rPr>
        <w:t>8</w:t>
      </w:r>
      <w:r w:rsidRPr="00424615">
        <w:rPr>
          <w:sz w:val="22"/>
          <w:szCs w:val="22"/>
        </w:rPr>
        <w:t>)(a), F.A.C.</w:t>
      </w:r>
      <w:r w:rsidRPr="00424615">
        <w:rPr>
          <w:sz w:val="22"/>
          <w:szCs w:val="22"/>
          <w:u w:val="double"/>
          <w:shd w:val="clear" w:color="auto" w:fill="FFFF00"/>
        </w:rPr>
        <w:t xml:space="preserve"> and 0950137-046-AC, Specific Condition</w:t>
      </w:r>
      <w:r w:rsidRPr="00424615">
        <w:rPr>
          <w:spacing w:val="-7"/>
          <w:sz w:val="22"/>
          <w:szCs w:val="22"/>
          <w:u w:val="double"/>
          <w:shd w:val="clear" w:color="auto" w:fill="FFFF00"/>
        </w:rPr>
        <w:t xml:space="preserve"> </w:t>
      </w:r>
      <w:r w:rsidRPr="00424615">
        <w:rPr>
          <w:sz w:val="22"/>
          <w:szCs w:val="22"/>
          <w:u w:val="double"/>
          <w:shd w:val="clear" w:color="auto" w:fill="FFFF00"/>
        </w:rPr>
        <w:t>7</w:t>
      </w:r>
      <w:r w:rsidRPr="00424615">
        <w:rPr>
          <w:sz w:val="22"/>
          <w:szCs w:val="22"/>
        </w:rPr>
        <w:t>]</w:t>
      </w:r>
    </w:p>
    <w:p w:rsidR="00590CE6" w:rsidRPr="00424615" w:rsidRDefault="00590CE6" w:rsidP="00590CE6">
      <w:pPr>
        <w:numPr>
          <w:ilvl w:val="0"/>
          <w:numId w:val="13"/>
        </w:numPr>
        <w:tabs>
          <w:tab w:val="left" w:pos="990"/>
        </w:tabs>
        <w:spacing w:after="120"/>
        <w:ind w:hanging="360"/>
        <w:rPr>
          <w:sz w:val="22"/>
          <w:szCs w:val="22"/>
        </w:rPr>
      </w:pPr>
      <w:r w:rsidRPr="00424615">
        <w:rPr>
          <w:sz w:val="22"/>
          <w:szCs w:val="22"/>
          <w:u w:val="single"/>
        </w:rPr>
        <w:t>Performance Tests</w:t>
      </w:r>
      <w:r w:rsidRPr="00424615">
        <w:rPr>
          <w:sz w:val="22"/>
          <w:szCs w:val="22"/>
        </w:rPr>
        <w:t xml:space="preserve">.  Performance tests shall be conducted after any replacement of the major components of the air pollution control equipment (and shake down period not to exceed 100 days after re-starting the CT), such as replacement of SCR catalyst or addition of oxidation catalyst (or change of combustors, if specifically requested by the DEP on a case-by-case basis).  Annual compliance tests shall be performed during every </w:t>
      </w:r>
      <w:r w:rsidRPr="00424615">
        <w:rPr>
          <w:strike/>
          <w:sz w:val="22"/>
          <w:szCs w:val="22"/>
          <w:highlight w:val="yellow"/>
        </w:rPr>
        <w:t>federal fiscal</w:t>
      </w:r>
      <w:r w:rsidRPr="00424615">
        <w:rPr>
          <w:sz w:val="22"/>
          <w:szCs w:val="22"/>
          <w:highlight w:val="yellow"/>
        </w:rPr>
        <w:t xml:space="preserve"> </w:t>
      </w:r>
      <w:r w:rsidRPr="00424615">
        <w:rPr>
          <w:sz w:val="22"/>
          <w:szCs w:val="22"/>
          <w:highlight w:val="yellow"/>
          <w:u w:val="double"/>
        </w:rPr>
        <w:t>calendar</w:t>
      </w:r>
      <w:r w:rsidRPr="00424615">
        <w:rPr>
          <w:sz w:val="22"/>
          <w:szCs w:val="22"/>
        </w:rPr>
        <w:t xml:space="preserve"> year </w:t>
      </w:r>
      <w:r w:rsidRPr="00424615">
        <w:rPr>
          <w:sz w:val="22"/>
          <w:szCs w:val="22"/>
          <w:highlight w:val="yellow"/>
        </w:rPr>
        <w:t>(</w:t>
      </w:r>
      <w:r w:rsidRPr="00424615">
        <w:rPr>
          <w:strike/>
          <w:sz w:val="22"/>
          <w:szCs w:val="22"/>
          <w:highlight w:val="yellow"/>
        </w:rPr>
        <w:t>October 1</w:t>
      </w:r>
      <w:r w:rsidRPr="00424615">
        <w:rPr>
          <w:strike/>
          <w:sz w:val="22"/>
          <w:szCs w:val="22"/>
          <w:highlight w:val="yellow"/>
          <w:vertAlign w:val="superscript"/>
        </w:rPr>
        <w:t>st</w:t>
      </w:r>
      <w:r w:rsidRPr="00424615">
        <w:rPr>
          <w:strike/>
          <w:sz w:val="22"/>
          <w:szCs w:val="22"/>
          <w:highlight w:val="yellow"/>
        </w:rPr>
        <w:t xml:space="preserve"> to September 30</w:t>
      </w:r>
      <w:r w:rsidRPr="00424615">
        <w:rPr>
          <w:strike/>
          <w:sz w:val="22"/>
          <w:szCs w:val="22"/>
          <w:highlight w:val="yellow"/>
          <w:vertAlign w:val="superscript"/>
        </w:rPr>
        <w:t>th</w:t>
      </w:r>
      <w:r w:rsidRPr="00424615">
        <w:rPr>
          <w:sz w:val="22"/>
          <w:szCs w:val="22"/>
        </w:rPr>
        <w:t xml:space="preserve"> </w:t>
      </w:r>
      <w:r w:rsidRPr="00424615">
        <w:rPr>
          <w:sz w:val="22"/>
          <w:szCs w:val="22"/>
          <w:highlight w:val="yellow"/>
        </w:rPr>
        <w:t>January 1</w:t>
      </w:r>
      <w:r w:rsidRPr="00424615">
        <w:rPr>
          <w:sz w:val="22"/>
          <w:szCs w:val="22"/>
          <w:highlight w:val="yellow"/>
          <w:vertAlign w:val="superscript"/>
        </w:rPr>
        <w:t>st</w:t>
      </w:r>
      <w:r w:rsidRPr="00424615">
        <w:rPr>
          <w:sz w:val="22"/>
          <w:szCs w:val="22"/>
          <w:highlight w:val="yellow"/>
        </w:rPr>
        <w:t xml:space="preserve"> to December 31</w:t>
      </w:r>
      <w:r w:rsidRPr="00424615">
        <w:rPr>
          <w:sz w:val="22"/>
          <w:szCs w:val="22"/>
          <w:highlight w:val="yellow"/>
          <w:vertAlign w:val="superscript"/>
        </w:rPr>
        <w:t>st</w:t>
      </w:r>
      <w:r w:rsidRPr="00424615">
        <w:rPr>
          <w:sz w:val="22"/>
          <w:szCs w:val="22"/>
          <w:highlight w:val="yellow"/>
        </w:rPr>
        <w:t>)</w:t>
      </w:r>
      <w:r w:rsidRPr="00424615">
        <w:rPr>
          <w:sz w:val="22"/>
          <w:szCs w:val="22"/>
        </w:rPr>
        <w:t xml:space="preserve"> pursuant to Rule 62-297.310(</w:t>
      </w:r>
      <w:r w:rsidRPr="00424615">
        <w:rPr>
          <w:strike/>
          <w:sz w:val="22"/>
          <w:szCs w:val="22"/>
          <w:highlight w:val="yellow"/>
        </w:rPr>
        <w:t>7</w:t>
      </w:r>
      <w:r w:rsidRPr="00424615">
        <w:rPr>
          <w:sz w:val="22"/>
          <w:szCs w:val="22"/>
        </w:rPr>
        <w:t xml:space="preserve"> </w:t>
      </w:r>
      <w:r w:rsidRPr="00424615">
        <w:rPr>
          <w:sz w:val="22"/>
          <w:szCs w:val="22"/>
          <w:highlight w:val="yellow"/>
          <w:u w:val="double"/>
        </w:rPr>
        <w:t>8</w:t>
      </w:r>
      <w:r w:rsidRPr="00424615">
        <w:rPr>
          <w:sz w:val="22"/>
          <w:szCs w:val="22"/>
        </w:rPr>
        <w:t xml:space="preserve">), F.A.C.  The reference methods listed in </w:t>
      </w:r>
      <w:r w:rsidRPr="00424615">
        <w:rPr>
          <w:b/>
          <w:sz w:val="22"/>
          <w:szCs w:val="22"/>
        </w:rPr>
        <w:t xml:space="preserve">Specific Condition </w:t>
      </w:r>
      <w:r w:rsidRPr="00424615">
        <w:rPr>
          <w:b/>
          <w:sz w:val="22"/>
          <w:szCs w:val="22"/>
        </w:rPr>
        <w:fldChar w:fldCharType="begin"/>
      </w:r>
      <w:r w:rsidRPr="00424615">
        <w:rPr>
          <w:b/>
          <w:sz w:val="22"/>
          <w:szCs w:val="22"/>
        </w:rPr>
        <w:instrText xml:space="preserve"> REF _Ref451952964 \r \h  \* MERGEFORMAT </w:instrText>
      </w:r>
      <w:r w:rsidRPr="00424615">
        <w:rPr>
          <w:b/>
          <w:sz w:val="22"/>
          <w:szCs w:val="22"/>
        </w:rPr>
      </w:r>
      <w:r w:rsidRPr="00424615">
        <w:rPr>
          <w:b/>
          <w:sz w:val="22"/>
          <w:szCs w:val="22"/>
        </w:rPr>
        <w:fldChar w:fldCharType="separate"/>
      </w:r>
      <w:r w:rsidRPr="00424615">
        <w:rPr>
          <w:b/>
          <w:sz w:val="22"/>
          <w:szCs w:val="22"/>
        </w:rPr>
        <w:t>D.24</w:t>
      </w:r>
      <w:r w:rsidRPr="00424615">
        <w:rPr>
          <w:b/>
          <w:sz w:val="22"/>
          <w:szCs w:val="22"/>
        </w:rPr>
        <w:fldChar w:fldCharType="end"/>
      </w:r>
      <w:r w:rsidRPr="00424615">
        <w:rPr>
          <w:b/>
          <w:sz w:val="22"/>
          <w:szCs w:val="22"/>
        </w:rPr>
        <w:t>.</w:t>
      </w:r>
      <w:r w:rsidRPr="00424615">
        <w:rPr>
          <w:sz w:val="22"/>
          <w:szCs w:val="22"/>
        </w:rPr>
        <w:t xml:space="preserve"> </w:t>
      </w:r>
      <w:proofErr w:type="gramStart"/>
      <w:r w:rsidRPr="00424615">
        <w:rPr>
          <w:sz w:val="22"/>
          <w:szCs w:val="22"/>
        </w:rPr>
        <w:t>shall</w:t>
      </w:r>
      <w:proofErr w:type="gramEnd"/>
      <w:r w:rsidRPr="00424615">
        <w:rPr>
          <w:sz w:val="22"/>
          <w:szCs w:val="22"/>
        </w:rPr>
        <w:t xml:space="preserve"> be used.  No other test methods may be used for compliance testing unless prior DEP approval is received in writing.  The applicant shall calculate and report the ppmvd ammonia slip (@ 15% O</w:t>
      </w:r>
      <w:r w:rsidRPr="00424615">
        <w:rPr>
          <w:sz w:val="22"/>
          <w:szCs w:val="22"/>
          <w:vertAlign w:val="subscript"/>
        </w:rPr>
        <w:t>2</w:t>
      </w:r>
      <w:r w:rsidRPr="00424615">
        <w:rPr>
          <w:sz w:val="22"/>
          <w:szCs w:val="22"/>
        </w:rPr>
        <w:t>) at the measured lb/hr NO</w:t>
      </w:r>
      <w:r w:rsidRPr="00424615">
        <w:rPr>
          <w:sz w:val="22"/>
          <w:szCs w:val="22"/>
          <w:vertAlign w:val="subscript"/>
        </w:rPr>
        <w:t>X</w:t>
      </w:r>
      <w:r w:rsidRPr="00424615">
        <w:rPr>
          <w:sz w:val="22"/>
          <w:szCs w:val="22"/>
        </w:rPr>
        <w:t xml:space="preserve"> emission rate as a means of compliance with the BACT standard.  The applicant shall also be capable of calculating ammonia slip at the Department’s request</w:t>
      </w:r>
      <w:r w:rsidRPr="00424615">
        <w:rPr>
          <w:b/>
          <w:sz w:val="22"/>
          <w:szCs w:val="22"/>
        </w:rPr>
        <w:t>.</w:t>
      </w:r>
      <w:r w:rsidRPr="00424615">
        <w:rPr>
          <w:sz w:val="22"/>
          <w:szCs w:val="22"/>
        </w:rPr>
        <w:t xml:space="preserve">  [0950137-</w:t>
      </w:r>
      <w:r w:rsidRPr="00424615">
        <w:rPr>
          <w:strike/>
          <w:sz w:val="22"/>
          <w:szCs w:val="22"/>
          <w:highlight w:val="yellow"/>
        </w:rPr>
        <w:t>002</w:t>
      </w:r>
      <w:r w:rsidRPr="00424615">
        <w:rPr>
          <w:strike/>
          <w:sz w:val="22"/>
          <w:szCs w:val="22"/>
        </w:rPr>
        <w:t xml:space="preserve"> </w:t>
      </w:r>
      <w:r w:rsidRPr="00424615">
        <w:rPr>
          <w:sz w:val="22"/>
          <w:szCs w:val="22"/>
          <w:highlight w:val="yellow"/>
          <w:u w:val="double"/>
        </w:rPr>
        <w:t>046</w:t>
      </w:r>
      <w:r w:rsidRPr="00424615">
        <w:rPr>
          <w:sz w:val="22"/>
          <w:szCs w:val="22"/>
        </w:rPr>
        <w:t xml:space="preserve">-AC, Specific Condition </w:t>
      </w:r>
      <w:r w:rsidRPr="00424615">
        <w:rPr>
          <w:strike/>
          <w:sz w:val="22"/>
          <w:szCs w:val="22"/>
          <w:highlight w:val="yellow"/>
        </w:rPr>
        <w:t>30</w:t>
      </w:r>
      <w:r w:rsidRPr="00424615">
        <w:rPr>
          <w:strike/>
          <w:sz w:val="22"/>
          <w:szCs w:val="22"/>
        </w:rPr>
        <w:t>.</w:t>
      </w:r>
      <w:r w:rsidRPr="00424615">
        <w:rPr>
          <w:sz w:val="22"/>
          <w:szCs w:val="22"/>
        </w:rPr>
        <w:t xml:space="preserve"> </w:t>
      </w:r>
      <w:r w:rsidRPr="00424615">
        <w:rPr>
          <w:sz w:val="22"/>
          <w:szCs w:val="22"/>
          <w:highlight w:val="yellow"/>
          <w:u w:val="double"/>
        </w:rPr>
        <w:t>5</w:t>
      </w:r>
      <w:r w:rsidRPr="00424615">
        <w:rPr>
          <w:sz w:val="22"/>
          <w:szCs w:val="22"/>
        </w:rPr>
        <w:t xml:space="preserve">; and Applicant request in an e-mail memorandum received on </w:t>
      </w:r>
      <w:smartTag w:uri="urn:schemas-microsoft-com:office:smarttags" w:element="date">
        <w:smartTagPr>
          <w:attr w:name="Year" w:val="2004"/>
          <w:attr w:name="Day" w:val="7"/>
          <w:attr w:name="Month" w:val="10"/>
        </w:smartTagPr>
        <w:r w:rsidRPr="00424615">
          <w:rPr>
            <w:sz w:val="22"/>
            <w:szCs w:val="22"/>
          </w:rPr>
          <w:t>October 7, 2004</w:t>
        </w:r>
      </w:smartTag>
      <w:r w:rsidRPr="00424615">
        <w:rPr>
          <w:sz w:val="22"/>
          <w:szCs w:val="22"/>
        </w:rPr>
        <w:t>.]</w:t>
      </w:r>
    </w:p>
    <w:p w:rsidR="00ED7336" w:rsidRPr="00424615" w:rsidRDefault="00ED7336" w:rsidP="00C705ED">
      <w:pPr>
        <w:numPr>
          <w:ilvl w:val="0"/>
          <w:numId w:val="15"/>
        </w:numPr>
        <w:tabs>
          <w:tab w:val="clear" w:pos="360"/>
          <w:tab w:val="left" w:pos="990"/>
        </w:tabs>
        <w:spacing w:after="120"/>
        <w:ind w:left="810" w:hanging="450"/>
        <w:rPr>
          <w:sz w:val="22"/>
          <w:szCs w:val="22"/>
        </w:rPr>
      </w:pPr>
      <w:r w:rsidRPr="00424615">
        <w:rPr>
          <w:sz w:val="22"/>
          <w:szCs w:val="22"/>
          <w:u w:val="single"/>
        </w:rPr>
        <w:t>Compliance with the VOC Emission Limit</w:t>
      </w:r>
      <w:r w:rsidRPr="00424615">
        <w:rPr>
          <w:sz w:val="22"/>
          <w:szCs w:val="22"/>
        </w:rPr>
        <w:t xml:space="preserve">.  An </w:t>
      </w:r>
      <w:r w:rsidRPr="00424615">
        <w:rPr>
          <w:i/>
          <w:sz w:val="22"/>
          <w:szCs w:val="22"/>
        </w:rPr>
        <w:t>initial</w:t>
      </w:r>
      <w:r w:rsidRPr="00424615">
        <w:rPr>
          <w:sz w:val="22"/>
          <w:szCs w:val="22"/>
        </w:rPr>
        <w:t xml:space="preserve"> test was required to demonstrate compliance with the VOC emission limit.  Thereafter, the CO emission limit shall be employed as a surrogate and no annual testing</w:t>
      </w:r>
      <w:r w:rsidRPr="00424615">
        <w:rPr>
          <w:sz w:val="22"/>
          <w:szCs w:val="22"/>
          <w:u w:val="double"/>
        </w:rPr>
        <w:t xml:space="preserve"> </w:t>
      </w:r>
      <w:r w:rsidRPr="00424615">
        <w:rPr>
          <w:sz w:val="22"/>
          <w:szCs w:val="22"/>
          <w:highlight w:val="yellow"/>
          <w:u w:val="double"/>
        </w:rPr>
        <w:t>or permit renewal testing</w:t>
      </w:r>
      <w:r w:rsidRPr="00424615">
        <w:rPr>
          <w:sz w:val="22"/>
          <w:szCs w:val="22"/>
        </w:rPr>
        <w:t xml:space="preserve"> is required.  [0950137-</w:t>
      </w:r>
      <w:r w:rsidRPr="00424615">
        <w:rPr>
          <w:strike/>
          <w:sz w:val="22"/>
          <w:szCs w:val="22"/>
          <w:highlight w:val="yellow"/>
        </w:rPr>
        <w:t>002</w:t>
      </w:r>
      <w:r w:rsidRPr="00424615">
        <w:rPr>
          <w:strike/>
          <w:sz w:val="22"/>
          <w:szCs w:val="22"/>
        </w:rPr>
        <w:t xml:space="preserve"> </w:t>
      </w:r>
      <w:r w:rsidRPr="00424615">
        <w:rPr>
          <w:sz w:val="22"/>
          <w:szCs w:val="22"/>
          <w:highlight w:val="yellow"/>
          <w:u w:val="double"/>
        </w:rPr>
        <w:t>046</w:t>
      </w:r>
      <w:r w:rsidRPr="00424615">
        <w:rPr>
          <w:sz w:val="22"/>
          <w:szCs w:val="22"/>
        </w:rPr>
        <w:t xml:space="preserve">-AC, Specific Condition </w:t>
      </w:r>
      <w:r w:rsidRPr="00424615">
        <w:rPr>
          <w:strike/>
          <w:sz w:val="22"/>
          <w:szCs w:val="22"/>
          <w:highlight w:val="yellow"/>
        </w:rPr>
        <w:t>34</w:t>
      </w:r>
      <w:r w:rsidRPr="00424615">
        <w:rPr>
          <w:sz w:val="22"/>
          <w:szCs w:val="22"/>
          <w:highlight w:val="yellow"/>
        </w:rPr>
        <w:t xml:space="preserve"> </w:t>
      </w:r>
      <w:r w:rsidRPr="00424615">
        <w:rPr>
          <w:sz w:val="22"/>
          <w:szCs w:val="22"/>
          <w:highlight w:val="yellow"/>
          <w:u w:val="double"/>
        </w:rPr>
        <w:t>8</w:t>
      </w:r>
      <w:r w:rsidRPr="00424615">
        <w:rPr>
          <w:sz w:val="22"/>
          <w:szCs w:val="22"/>
        </w:rPr>
        <w:t>.]</w:t>
      </w:r>
    </w:p>
    <w:p w:rsidR="00424615" w:rsidRPr="00424615" w:rsidRDefault="00424615" w:rsidP="00424615">
      <w:pPr>
        <w:numPr>
          <w:ilvl w:val="0"/>
          <w:numId w:val="17"/>
        </w:numPr>
        <w:tabs>
          <w:tab w:val="clear" w:pos="360"/>
          <w:tab w:val="num" w:pos="900"/>
          <w:tab w:val="left" w:pos="990"/>
        </w:tabs>
        <w:spacing w:after="120"/>
        <w:ind w:left="810" w:hanging="450"/>
        <w:rPr>
          <w:sz w:val="22"/>
          <w:szCs w:val="22"/>
          <w:highlight w:val="yellow"/>
          <w:u w:val="double"/>
        </w:rPr>
      </w:pPr>
      <w:bookmarkStart w:id="3" w:name="_Ref452447745"/>
      <w:r w:rsidRPr="00424615">
        <w:rPr>
          <w:sz w:val="22"/>
          <w:szCs w:val="22"/>
          <w:highlight w:val="yellow"/>
          <w:u w:val="double"/>
        </w:rPr>
        <w:t>Actual Emissions Reporting.  Because the review and issuance of permit No. 0950137-046-AC was based on an analysis that compared baseline actual emissions to projected actual emissions which was relied upon to avoid the requirements of subsections 62-212.400(4) through (12), F.A.C., for emissions of nitrogen oxides (NO</w:t>
      </w:r>
      <w:r w:rsidRPr="00424615">
        <w:rPr>
          <w:sz w:val="22"/>
          <w:szCs w:val="22"/>
          <w:highlight w:val="yellow"/>
          <w:u w:val="double"/>
          <w:vertAlign w:val="subscript"/>
        </w:rPr>
        <w:t>X</w:t>
      </w:r>
      <w:r w:rsidRPr="00424615">
        <w:rPr>
          <w:sz w:val="22"/>
          <w:szCs w:val="22"/>
          <w:highlight w:val="yellow"/>
          <w:u w:val="double"/>
        </w:rPr>
        <w:t>), the permittee is subject to the following monitoring, reporting and recordkeeping provisions:</w:t>
      </w:r>
      <w:bookmarkEnd w:id="3"/>
    </w:p>
    <w:p w:rsidR="00424615" w:rsidRPr="00424615" w:rsidRDefault="00424615" w:rsidP="00424615">
      <w:pPr>
        <w:numPr>
          <w:ilvl w:val="0"/>
          <w:numId w:val="16"/>
        </w:numPr>
        <w:rPr>
          <w:sz w:val="22"/>
          <w:szCs w:val="22"/>
          <w:highlight w:val="yellow"/>
          <w:u w:val="double"/>
        </w:rPr>
      </w:pPr>
      <w:bookmarkStart w:id="4" w:name="_Ref452447749"/>
      <w:r w:rsidRPr="00424615">
        <w:rPr>
          <w:sz w:val="22"/>
          <w:szCs w:val="22"/>
          <w:highlight w:val="yellow"/>
          <w:u w:val="double"/>
        </w:rPr>
        <w:t>The permittee shall monitor the emissions of NO</w:t>
      </w:r>
      <w:r w:rsidRPr="00424615">
        <w:rPr>
          <w:sz w:val="22"/>
          <w:szCs w:val="22"/>
          <w:highlight w:val="yellow"/>
          <w:u w:val="double"/>
          <w:vertAlign w:val="subscript"/>
        </w:rPr>
        <w:t>X</w:t>
      </w:r>
      <w:r w:rsidRPr="00424615">
        <w:rPr>
          <w:sz w:val="22"/>
          <w:szCs w:val="22"/>
          <w:highlight w:val="yellow"/>
          <w:u w:val="double"/>
        </w:rPr>
        <w:t xml:space="preserve"> emitted by EUs 025 and 026; and, using the most reliable information available, calculate and maintain a record of the annual emissions, in tons per year on a calendar year basis, for a period of 5 years following resumption of regular operations after the change (Calendar years 2016 through 2020).  Emissions shall be computed in accordance with the provisions in Rule 62-210.370, F.A.C., which are provided in Appendix RR of this permit.</w:t>
      </w:r>
      <w:bookmarkEnd w:id="4"/>
    </w:p>
    <w:p w:rsidR="00424615" w:rsidRPr="00424615" w:rsidRDefault="00424615" w:rsidP="00424615">
      <w:pPr>
        <w:numPr>
          <w:ilvl w:val="0"/>
          <w:numId w:val="16"/>
        </w:numPr>
        <w:rPr>
          <w:sz w:val="22"/>
          <w:szCs w:val="22"/>
          <w:highlight w:val="yellow"/>
          <w:u w:val="double"/>
        </w:rPr>
      </w:pPr>
      <w:r w:rsidRPr="00424615">
        <w:rPr>
          <w:sz w:val="22"/>
          <w:szCs w:val="22"/>
          <w:highlight w:val="yellow"/>
          <w:u w:val="double"/>
        </w:rPr>
        <w:t>The permittee shall submit a report to the Department within 60 days after the end of each calendar year specified in paragraph</w:t>
      </w:r>
      <w:r w:rsidRPr="00424615">
        <w:rPr>
          <w:b/>
          <w:sz w:val="22"/>
          <w:szCs w:val="22"/>
          <w:highlight w:val="yellow"/>
          <w:u w:val="double"/>
        </w:rPr>
        <w:t xml:space="preserve"> </w:t>
      </w:r>
      <w:r w:rsidRPr="00424615">
        <w:rPr>
          <w:b/>
          <w:sz w:val="22"/>
          <w:szCs w:val="22"/>
          <w:highlight w:val="yellow"/>
          <w:u w:val="double"/>
        </w:rPr>
        <w:fldChar w:fldCharType="begin"/>
      </w:r>
      <w:r w:rsidRPr="00424615">
        <w:rPr>
          <w:b/>
          <w:sz w:val="22"/>
          <w:szCs w:val="22"/>
          <w:highlight w:val="yellow"/>
          <w:u w:val="double"/>
        </w:rPr>
        <w:instrText xml:space="preserve"> REF _Ref452447745 \r \h  \* MERGEFORMAT </w:instrText>
      </w:r>
      <w:r w:rsidRPr="00424615">
        <w:rPr>
          <w:b/>
          <w:sz w:val="22"/>
          <w:szCs w:val="22"/>
          <w:highlight w:val="yellow"/>
          <w:u w:val="double"/>
        </w:rPr>
      </w:r>
      <w:r w:rsidRPr="00424615">
        <w:rPr>
          <w:b/>
          <w:sz w:val="22"/>
          <w:szCs w:val="22"/>
          <w:highlight w:val="yellow"/>
          <w:u w:val="double"/>
        </w:rPr>
        <w:fldChar w:fldCharType="separate"/>
      </w:r>
      <w:r w:rsidRPr="00424615">
        <w:rPr>
          <w:b/>
          <w:sz w:val="22"/>
          <w:szCs w:val="22"/>
          <w:highlight w:val="yellow"/>
          <w:u w:val="double"/>
        </w:rPr>
        <w:t>D.39</w:t>
      </w:r>
      <w:r w:rsidRPr="00424615">
        <w:rPr>
          <w:b/>
          <w:sz w:val="22"/>
          <w:szCs w:val="22"/>
          <w:highlight w:val="yellow"/>
          <w:u w:val="double"/>
        </w:rPr>
        <w:fldChar w:fldCharType="end"/>
      </w:r>
      <w:r w:rsidRPr="00424615">
        <w:rPr>
          <w:b/>
          <w:sz w:val="22"/>
          <w:szCs w:val="22"/>
          <w:highlight w:val="yellow"/>
          <w:u w:val="double"/>
        </w:rPr>
        <w:fldChar w:fldCharType="begin"/>
      </w:r>
      <w:r w:rsidRPr="00424615">
        <w:rPr>
          <w:b/>
          <w:sz w:val="22"/>
          <w:szCs w:val="22"/>
          <w:highlight w:val="yellow"/>
          <w:u w:val="double"/>
        </w:rPr>
        <w:instrText xml:space="preserve"> REF _Ref452447749 \r \h  \* MERGEFORMAT </w:instrText>
      </w:r>
      <w:r w:rsidRPr="00424615">
        <w:rPr>
          <w:b/>
          <w:sz w:val="22"/>
          <w:szCs w:val="22"/>
          <w:highlight w:val="yellow"/>
          <w:u w:val="double"/>
        </w:rPr>
      </w:r>
      <w:r w:rsidRPr="00424615">
        <w:rPr>
          <w:b/>
          <w:sz w:val="22"/>
          <w:szCs w:val="22"/>
          <w:highlight w:val="yellow"/>
          <w:u w:val="double"/>
        </w:rPr>
        <w:fldChar w:fldCharType="separate"/>
      </w:r>
      <w:r w:rsidRPr="00424615">
        <w:rPr>
          <w:b/>
          <w:sz w:val="22"/>
          <w:szCs w:val="22"/>
          <w:highlight w:val="yellow"/>
          <w:u w:val="double"/>
        </w:rPr>
        <w:t>a</w:t>
      </w:r>
      <w:r w:rsidRPr="00424615">
        <w:rPr>
          <w:b/>
          <w:sz w:val="22"/>
          <w:szCs w:val="22"/>
          <w:highlight w:val="yellow"/>
          <w:u w:val="double"/>
        </w:rPr>
        <w:fldChar w:fldCharType="end"/>
      </w:r>
      <w:r w:rsidRPr="00424615">
        <w:rPr>
          <w:b/>
          <w:sz w:val="22"/>
          <w:szCs w:val="22"/>
          <w:highlight w:val="yellow"/>
          <w:u w:val="double"/>
        </w:rPr>
        <w:t>.,</w:t>
      </w:r>
      <w:r w:rsidRPr="00424615">
        <w:rPr>
          <w:sz w:val="22"/>
          <w:szCs w:val="22"/>
          <w:highlight w:val="yellow"/>
          <w:u w:val="double"/>
        </w:rPr>
        <w:t xml:space="preserve"> documenting the unit’s annual emissions of NO</w:t>
      </w:r>
      <w:r w:rsidRPr="00424615">
        <w:rPr>
          <w:sz w:val="22"/>
          <w:szCs w:val="22"/>
          <w:highlight w:val="yellow"/>
          <w:u w:val="double"/>
          <w:vertAlign w:val="subscript"/>
        </w:rPr>
        <w:t>X</w:t>
      </w:r>
      <w:r w:rsidRPr="00424615">
        <w:rPr>
          <w:sz w:val="22"/>
          <w:szCs w:val="22"/>
          <w:highlight w:val="yellow"/>
          <w:u w:val="double"/>
        </w:rPr>
        <w:t xml:space="preserve"> during the previous calendar year.  The report shall contain the following:</w:t>
      </w:r>
    </w:p>
    <w:p w:rsidR="00424615" w:rsidRPr="00424615" w:rsidRDefault="00424615" w:rsidP="00424615">
      <w:pPr>
        <w:numPr>
          <w:ilvl w:val="1"/>
          <w:numId w:val="16"/>
        </w:numPr>
        <w:ind w:left="1440"/>
        <w:rPr>
          <w:sz w:val="22"/>
          <w:szCs w:val="22"/>
          <w:highlight w:val="yellow"/>
          <w:u w:val="double"/>
        </w:rPr>
      </w:pPr>
      <w:r w:rsidRPr="00424615">
        <w:rPr>
          <w:sz w:val="22"/>
          <w:szCs w:val="22"/>
          <w:highlight w:val="yellow"/>
          <w:u w:val="double"/>
        </w:rPr>
        <w:t>The name, address and telephone number of the owner or operator of the major stationary source;</w:t>
      </w:r>
    </w:p>
    <w:p w:rsidR="00424615" w:rsidRPr="00424615" w:rsidRDefault="00424615" w:rsidP="00424615">
      <w:pPr>
        <w:numPr>
          <w:ilvl w:val="1"/>
          <w:numId w:val="16"/>
        </w:numPr>
        <w:ind w:left="1440"/>
        <w:rPr>
          <w:sz w:val="22"/>
          <w:szCs w:val="22"/>
          <w:highlight w:val="yellow"/>
          <w:u w:val="double"/>
        </w:rPr>
      </w:pPr>
      <w:r w:rsidRPr="00424615">
        <w:rPr>
          <w:sz w:val="22"/>
          <w:szCs w:val="22"/>
          <w:highlight w:val="yellow"/>
          <w:u w:val="double"/>
        </w:rPr>
        <w:t>The annual emissions calculations pursuant to the provisions of 62-210.370, F.A.C., which are provided in Appendix RR of this permit;</w:t>
      </w:r>
    </w:p>
    <w:p w:rsidR="00424615" w:rsidRPr="00424615" w:rsidRDefault="00424615" w:rsidP="00424615">
      <w:pPr>
        <w:numPr>
          <w:ilvl w:val="1"/>
          <w:numId w:val="16"/>
        </w:numPr>
        <w:ind w:left="1440"/>
        <w:rPr>
          <w:sz w:val="22"/>
          <w:szCs w:val="22"/>
          <w:highlight w:val="yellow"/>
          <w:u w:val="double"/>
        </w:rPr>
      </w:pPr>
      <w:r w:rsidRPr="00424615">
        <w:rPr>
          <w:sz w:val="22"/>
          <w:szCs w:val="22"/>
          <w:highlight w:val="yellow"/>
          <w:u w:val="double"/>
        </w:rPr>
        <w:t>If the emissions differ from the preconstruction projection, an explanation as to why there is a difference; and</w:t>
      </w:r>
    </w:p>
    <w:p w:rsidR="00424615" w:rsidRPr="00424615" w:rsidRDefault="00424615" w:rsidP="00424615">
      <w:pPr>
        <w:numPr>
          <w:ilvl w:val="1"/>
          <w:numId w:val="16"/>
        </w:numPr>
        <w:ind w:left="1440"/>
        <w:rPr>
          <w:sz w:val="22"/>
          <w:szCs w:val="22"/>
          <w:highlight w:val="yellow"/>
          <w:u w:val="double"/>
        </w:rPr>
      </w:pPr>
      <w:r w:rsidRPr="00424615">
        <w:rPr>
          <w:sz w:val="22"/>
          <w:szCs w:val="22"/>
          <w:highlight w:val="yellow"/>
          <w:u w:val="double"/>
        </w:rPr>
        <w:t>Any other information that the owner or operator wishes to include in the report.</w:t>
      </w:r>
    </w:p>
    <w:p w:rsidR="00424615" w:rsidRPr="00424615" w:rsidRDefault="00424615" w:rsidP="00424615">
      <w:pPr>
        <w:spacing w:after="120"/>
        <w:rPr>
          <w:sz w:val="22"/>
          <w:szCs w:val="22"/>
          <w:highlight w:val="yellow"/>
          <w:u w:val="double"/>
        </w:rPr>
      </w:pPr>
      <w:r w:rsidRPr="00424615">
        <w:rPr>
          <w:sz w:val="22"/>
          <w:szCs w:val="22"/>
          <w:highlight w:val="yellow"/>
          <w:u w:val="double"/>
        </w:rPr>
        <w:t>[Rules 62-212.300(1</w:t>
      </w:r>
      <w:proofErr w:type="gramStart"/>
      <w:r w:rsidRPr="00424615">
        <w:rPr>
          <w:sz w:val="22"/>
          <w:szCs w:val="22"/>
          <w:highlight w:val="yellow"/>
          <w:u w:val="double"/>
        </w:rPr>
        <w:t>)(</w:t>
      </w:r>
      <w:proofErr w:type="gramEnd"/>
      <w:r w:rsidRPr="00424615">
        <w:rPr>
          <w:sz w:val="22"/>
          <w:szCs w:val="22"/>
          <w:highlight w:val="yellow"/>
          <w:u w:val="double"/>
        </w:rPr>
        <w:t>e) &amp; 62-210.370, F.A.C.; and Permit No. 0950137-046-AC]</w:t>
      </w:r>
    </w:p>
    <w:p w:rsidR="00424615" w:rsidRPr="00424615" w:rsidRDefault="00424615" w:rsidP="00424615">
      <w:pPr>
        <w:spacing w:after="120"/>
        <w:rPr>
          <w:i/>
          <w:iCs/>
          <w:sz w:val="22"/>
          <w:szCs w:val="22"/>
          <w:u w:val="double"/>
        </w:rPr>
      </w:pPr>
      <w:r w:rsidRPr="00424615">
        <w:rPr>
          <w:i/>
          <w:iCs/>
          <w:sz w:val="22"/>
          <w:szCs w:val="22"/>
          <w:highlight w:val="yellow"/>
          <w:u w:val="double"/>
        </w:rPr>
        <w:t>{Permitting note:  Actual Emissions - 92.93 TPY (Baseline Actual Emissions) = &lt; 40 TPY of NO</w:t>
      </w:r>
      <w:r w:rsidRPr="00424615">
        <w:rPr>
          <w:i/>
          <w:iCs/>
          <w:sz w:val="22"/>
          <w:szCs w:val="22"/>
          <w:highlight w:val="yellow"/>
          <w:u w:val="double"/>
          <w:vertAlign w:val="subscript"/>
        </w:rPr>
        <w:t>X</w:t>
      </w:r>
      <w:r w:rsidRPr="00424615">
        <w:rPr>
          <w:i/>
          <w:iCs/>
          <w:sz w:val="22"/>
          <w:szCs w:val="22"/>
          <w:highlight w:val="yellow"/>
          <w:u w:val="double"/>
        </w:rPr>
        <w:t xml:space="preserve"> emissions.  According to the applicant, the changes authorized by project 0950137-046-AC became effective on December 4, </w:t>
      </w:r>
      <w:r w:rsidRPr="00424615">
        <w:rPr>
          <w:i/>
          <w:iCs/>
          <w:sz w:val="22"/>
          <w:szCs w:val="22"/>
          <w:highlight w:val="yellow"/>
          <w:u w:val="double"/>
        </w:rPr>
        <w:lastRenderedPageBreak/>
        <w:t>2015.  Therefore, the 5 year reporting period for these EUs shall be for operations during calendar years 2016 through 2020, reported in calendar years 2017 through 2021.}</w:t>
      </w:r>
    </w:p>
    <w:p w:rsidR="00790D28" w:rsidRDefault="00790D28" w:rsidP="00A9654B">
      <w:pPr>
        <w:pStyle w:val="ListParagraph"/>
        <w:numPr>
          <w:ilvl w:val="0"/>
          <w:numId w:val="5"/>
        </w:numPr>
        <w:tabs>
          <w:tab w:val="left" w:pos="360"/>
        </w:tabs>
        <w:spacing w:after="120"/>
        <w:contextualSpacing w:val="0"/>
        <w:rPr>
          <w:bCs/>
          <w:sz w:val="22"/>
          <w:szCs w:val="22"/>
        </w:rPr>
      </w:pPr>
      <w:r>
        <w:rPr>
          <w:bCs/>
          <w:sz w:val="22"/>
          <w:szCs w:val="22"/>
        </w:rPr>
        <w:t>A new section was added to the permit to incorporate the Transport Rule</w:t>
      </w:r>
      <w:r w:rsidR="00883EE3">
        <w:rPr>
          <w:bCs/>
          <w:sz w:val="22"/>
          <w:szCs w:val="22"/>
        </w:rPr>
        <w:t xml:space="preserve"> (Section VI, Transport Rule Part)</w:t>
      </w:r>
      <w:r>
        <w:rPr>
          <w:bCs/>
          <w:sz w:val="22"/>
          <w:szCs w:val="22"/>
        </w:rPr>
        <w:t>.</w:t>
      </w:r>
    </w:p>
    <w:p w:rsidR="00065D3D" w:rsidRPr="00A9654B" w:rsidRDefault="00424615" w:rsidP="00A9654B">
      <w:pPr>
        <w:pStyle w:val="ListParagraph"/>
        <w:numPr>
          <w:ilvl w:val="0"/>
          <w:numId w:val="5"/>
        </w:numPr>
        <w:tabs>
          <w:tab w:val="left" w:pos="360"/>
        </w:tabs>
        <w:spacing w:after="120"/>
        <w:contextualSpacing w:val="0"/>
        <w:rPr>
          <w:bCs/>
          <w:sz w:val="22"/>
          <w:szCs w:val="22"/>
        </w:rPr>
      </w:pPr>
      <w:r>
        <w:rPr>
          <w:bCs/>
          <w:sz w:val="22"/>
          <w:szCs w:val="22"/>
        </w:rPr>
        <w:t xml:space="preserve">Appendix RR was revised to incorporate the latest revisions to Rule 62-297.310, F.A.C. </w:t>
      </w:r>
    </w:p>
    <w:p w:rsidR="009424E0" w:rsidRPr="0057507D" w:rsidRDefault="0057507D" w:rsidP="00303BD3">
      <w:pPr>
        <w:spacing w:after="120"/>
        <w:rPr>
          <w:b/>
          <w:caps/>
          <w:sz w:val="22"/>
          <w:szCs w:val="22"/>
        </w:rPr>
      </w:pPr>
      <w:r>
        <w:rPr>
          <w:b/>
          <w:caps/>
          <w:sz w:val="22"/>
          <w:szCs w:val="22"/>
        </w:rPr>
        <w:t>Conclusion</w:t>
      </w:r>
    </w:p>
    <w:p w:rsidR="0060439F" w:rsidRDefault="004E1AC5" w:rsidP="00303BD3">
      <w:pPr>
        <w:spacing w:after="120"/>
        <w:rPr>
          <w:sz w:val="22"/>
          <w:szCs w:val="22"/>
        </w:rPr>
      </w:pPr>
      <w:r>
        <w:rPr>
          <w:sz w:val="22"/>
          <w:szCs w:val="22"/>
        </w:rPr>
        <w:t xml:space="preserve">This project </w:t>
      </w:r>
      <w:r w:rsidR="006F56CD" w:rsidRPr="006F56CD">
        <w:rPr>
          <w:sz w:val="22"/>
          <w:szCs w:val="22"/>
        </w:rPr>
        <w:t>revises</w:t>
      </w:r>
      <w:r w:rsidRPr="006F56CD">
        <w:rPr>
          <w:sz w:val="22"/>
          <w:szCs w:val="22"/>
        </w:rPr>
        <w:t xml:space="preserve"> Title V a</w:t>
      </w:r>
      <w:r w:rsidR="00472C59" w:rsidRPr="006F56CD">
        <w:rPr>
          <w:sz w:val="22"/>
          <w:szCs w:val="22"/>
        </w:rPr>
        <w:t xml:space="preserve">ir </w:t>
      </w:r>
      <w:r w:rsidRPr="006F56CD">
        <w:rPr>
          <w:sz w:val="22"/>
          <w:szCs w:val="22"/>
        </w:rPr>
        <w:t>o</w:t>
      </w:r>
      <w:r w:rsidR="00472C59" w:rsidRPr="006F56CD">
        <w:rPr>
          <w:sz w:val="22"/>
          <w:szCs w:val="22"/>
        </w:rPr>
        <w:t xml:space="preserve">peration </w:t>
      </w:r>
      <w:r w:rsidRPr="006F56CD">
        <w:rPr>
          <w:sz w:val="22"/>
          <w:szCs w:val="22"/>
        </w:rPr>
        <w:t>p</w:t>
      </w:r>
      <w:r w:rsidR="00472C59" w:rsidRPr="006F56CD">
        <w:rPr>
          <w:sz w:val="22"/>
          <w:szCs w:val="22"/>
        </w:rPr>
        <w:t>ermit</w:t>
      </w:r>
      <w:r w:rsidRPr="006F56CD">
        <w:rPr>
          <w:sz w:val="22"/>
          <w:szCs w:val="22"/>
        </w:rPr>
        <w:t xml:space="preserve"> </w:t>
      </w:r>
      <w:r w:rsidR="00472C59" w:rsidRPr="006F56CD">
        <w:rPr>
          <w:sz w:val="22"/>
          <w:szCs w:val="22"/>
        </w:rPr>
        <w:t xml:space="preserve">No. </w:t>
      </w:r>
      <w:r w:rsidR="006F56CD" w:rsidRPr="006F56CD">
        <w:rPr>
          <w:sz w:val="22"/>
          <w:szCs w:val="22"/>
        </w:rPr>
        <w:t>0950137-044-AV</w:t>
      </w:r>
      <w:r w:rsidRPr="006F56CD">
        <w:rPr>
          <w:sz w:val="22"/>
          <w:szCs w:val="22"/>
        </w:rPr>
        <w:t xml:space="preserve">, which </w:t>
      </w:r>
      <w:r w:rsidR="00472C59" w:rsidRPr="006F56CD">
        <w:rPr>
          <w:sz w:val="22"/>
          <w:szCs w:val="22"/>
        </w:rPr>
        <w:t xml:space="preserve">was </w:t>
      </w:r>
      <w:r w:rsidR="00A910E5" w:rsidRPr="006F56CD">
        <w:rPr>
          <w:sz w:val="22"/>
          <w:szCs w:val="22"/>
        </w:rPr>
        <w:t>effective</w:t>
      </w:r>
      <w:r w:rsidR="00472C59" w:rsidRPr="006F56CD">
        <w:rPr>
          <w:sz w:val="22"/>
          <w:szCs w:val="22"/>
        </w:rPr>
        <w:t xml:space="preserve"> on</w:t>
      </w:r>
      <w:r w:rsidR="00924529" w:rsidRPr="006F56CD">
        <w:rPr>
          <w:sz w:val="22"/>
          <w:szCs w:val="22"/>
        </w:rPr>
        <w:t xml:space="preserve"> </w:t>
      </w:r>
      <w:r w:rsidR="006F56CD" w:rsidRPr="006F56CD">
        <w:rPr>
          <w:caps/>
          <w:sz w:val="22"/>
          <w:szCs w:val="22"/>
        </w:rPr>
        <w:t>January 1, 2015</w:t>
      </w:r>
      <w:r w:rsidR="00472C59" w:rsidRPr="006F56CD">
        <w:rPr>
          <w:sz w:val="22"/>
          <w:szCs w:val="22"/>
        </w:rPr>
        <w:t xml:space="preserve">.  This Title V </w:t>
      </w:r>
      <w:r w:rsidR="0067118D" w:rsidRPr="006F56CD">
        <w:rPr>
          <w:sz w:val="22"/>
          <w:szCs w:val="22"/>
        </w:rPr>
        <w:t>a</w:t>
      </w:r>
      <w:r w:rsidR="00472C59" w:rsidRPr="006F56CD">
        <w:rPr>
          <w:sz w:val="22"/>
          <w:szCs w:val="22"/>
        </w:rPr>
        <w:t xml:space="preserve">ir </w:t>
      </w:r>
      <w:r w:rsidR="0067118D" w:rsidRPr="006F56CD">
        <w:rPr>
          <w:sz w:val="22"/>
          <w:szCs w:val="22"/>
        </w:rPr>
        <w:t>o</w:t>
      </w:r>
      <w:r w:rsidR="00472C59" w:rsidRPr="006F56CD">
        <w:rPr>
          <w:sz w:val="22"/>
          <w:szCs w:val="22"/>
        </w:rPr>
        <w:t xml:space="preserve">peration </w:t>
      </w:r>
      <w:r w:rsidR="0067118D" w:rsidRPr="006F56CD">
        <w:rPr>
          <w:sz w:val="22"/>
          <w:szCs w:val="22"/>
        </w:rPr>
        <w:t>p</w:t>
      </w:r>
      <w:r w:rsidR="00472C59" w:rsidRPr="006F56CD">
        <w:rPr>
          <w:sz w:val="22"/>
          <w:szCs w:val="22"/>
        </w:rPr>
        <w:t xml:space="preserve">ermit </w:t>
      </w:r>
      <w:r w:rsidR="006F56CD" w:rsidRPr="006F56CD">
        <w:rPr>
          <w:sz w:val="22"/>
          <w:szCs w:val="22"/>
        </w:rPr>
        <w:t>revision</w:t>
      </w:r>
      <w:r w:rsidR="00472C59" w:rsidRPr="006F56CD">
        <w:rPr>
          <w:sz w:val="22"/>
          <w:szCs w:val="22"/>
        </w:rPr>
        <w:t xml:space="preserve"> is issued under</w:t>
      </w:r>
      <w:r w:rsidR="0057507D" w:rsidRPr="006F56CD">
        <w:rPr>
          <w:sz w:val="22"/>
          <w:szCs w:val="22"/>
        </w:rPr>
        <w:t xml:space="preserve"> the provisions of Chapter 403, </w:t>
      </w:r>
      <w:r w:rsidR="009226AE" w:rsidRPr="006F56CD">
        <w:rPr>
          <w:sz w:val="22"/>
          <w:szCs w:val="22"/>
        </w:rPr>
        <w:t>Florida Statues (</w:t>
      </w:r>
      <w:r w:rsidR="0057507D" w:rsidRPr="006F56CD">
        <w:rPr>
          <w:sz w:val="22"/>
          <w:szCs w:val="22"/>
        </w:rPr>
        <w:t>F</w:t>
      </w:r>
      <w:r w:rsidR="00472C59" w:rsidRPr="006F56CD">
        <w:rPr>
          <w:sz w:val="22"/>
          <w:szCs w:val="22"/>
        </w:rPr>
        <w:t>.S.</w:t>
      </w:r>
      <w:r w:rsidR="009226AE" w:rsidRPr="006F56CD">
        <w:rPr>
          <w:sz w:val="22"/>
          <w:szCs w:val="22"/>
        </w:rPr>
        <w:t>)</w:t>
      </w:r>
      <w:r w:rsidR="00472C59" w:rsidRPr="006F56CD">
        <w:rPr>
          <w:sz w:val="22"/>
          <w:szCs w:val="22"/>
        </w:rPr>
        <w:t>, and Chapters 62-4, 62-210</w:t>
      </w:r>
      <w:r w:rsidR="009F3614" w:rsidRPr="006F56CD">
        <w:rPr>
          <w:sz w:val="22"/>
          <w:szCs w:val="22"/>
        </w:rPr>
        <w:t>,</w:t>
      </w:r>
      <w:r w:rsidR="00472C59" w:rsidRPr="006F56CD">
        <w:rPr>
          <w:sz w:val="22"/>
          <w:szCs w:val="22"/>
        </w:rPr>
        <w:t xml:space="preserve"> 62-213</w:t>
      </w:r>
      <w:r w:rsidR="009F3614" w:rsidRPr="006F56CD">
        <w:rPr>
          <w:sz w:val="22"/>
          <w:szCs w:val="22"/>
        </w:rPr>
        <w:t xml:space="preserve"> and 214,</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9F3776">
      <w:headerReference w:type="even" r:id="rId7"/>
      <w:headerReference w:type="default" r:id="rId8"/>
      <w:footerReference w:type="even" r:id="rId9"/>
      <w:footerReference w:type="default" r:id="rId10"/>
      <w:headerReference w:type="first" r:id="rId11"/>
      <w:footerReference w:type="first" r:id="rId12"/>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6B2" w:rsidRDefault="009746B2">
      <w:r>
        <w:separator/>
      </w:r>
    </w:p>
  </w:endnote>
  <w:endnote w:type="continuationSeparator" w:id="0">
    <w:p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A22" w:rsidRDefault="00826A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6CD" w:rsidRPr="006F56CD" w:rsidRDefault="006F56CD" w:rsidP="006F56CD">
    <w:pPr>
      <w:pBdr>
        <w:top w:val="single" w:sz="6" w:space="1" w:color="auto"/>
      </w:pBdr>
      <w:tabs>
        <w:tab w:val="right" w:pos="10080"/>
      </w:tabs>
      <w:spacing w:before="240"/>
    </w:pPr>
    <w:r w:rsidRPr="006F56CD">
      <w:t>Orlando Utilities Commission</w:t>
    </w:r>
    <w:r w:rsidRPr="006F56CD">
      <w:tab/>
      <w:t>Permit No. 0950137-047-AV</w:t>
    </w:r>
  </w:p>
  <w:p w:rsidR="006F56CD" w:rsidRPr="006F56CD" w:rsidRDefault="006F56CD" w:rsidP="006F56CD">
    <w:pPr>
      <w:tabs>
        <w:tab w:val="right" w:pos="10080"/>
      </w:tabs>
    </w:pPr>
    <w:r w:rsidRPr="006F56CD">
      <w:t>Stanton Energy Center</w:t>
    </w:r>
    <w:r w:rsidRPr="006F56CD">
      <w:tab/>
      <w:t>Title V Air Operation Permit Revision</w:t>
    </w:r>
  </w:p>
  <w:p w:rsidR="006A46D3" w:rsidRPr="00973148" w:rsidRDefault="006A46D3" w:rsidP="00303BD3">
    <w:pPr>
      <w:pStyle w:val="Footer"/>
      <w:jc w:val="center"/>
      <w:rPr>
        <w:sz w:val="22"/>
        <w:szCs w:val="22"/>
      </w:rPr>
    </w:pPr>
    <w:r w:rsidRPr="00973148">
      <w:rPr>
        <w:sz w:val="22"/>
        <w:szCs w:val="22"/>
      </w:rPr>
      <w:t xml:space="preserve">Page </w:t>
    </w:r>
    <w:r w:rsidR="000A01F5" w:rsidRPr="00973148">
      <w:rPr>
        <w:sz w:val="22"/>
        <w:szCs w:val="22"/>
      </w:rPr>
      <w:fldChar w:fldCharType="begin"/>
    </w:r>
    <w:r w:rsidR="000A01F5" w:rsidRPr="00973148">
      <w:rPr>
        <w:sz w:val="22"/>
        <w:szCs w:val="22"/>
      </w:rPr>
      <w:instrText xml:space="preserve"> PAGE </w:instrText>
    </w:r>
    <w:r w:rsidR="000A01F5" w:rsidRPr="00973148">
      <w:rPr>
        <w:sz w:val="22"/>
        <w:szCs w:val="22"/>
      </w:rPr>
      <w:fldChar w:fldCharType="separate"/>
    </w:r>
    <w:r w:rsidR="008737F9">
      <w:rPr>
        <w:noProof/>
        <w:sz w:val="22"/>
        <w:szCs w:val="22"/>
      </w:rPr>
      <w:t>7</w:t>
    </w:r>
    <w:r w:rsidR="000A01F5" w:rsidRPr="00973148">
      <w:rPr>
        <w:noProof/>
        <w:sz w:val="22"/>
        <w:szCs w:val="22"/>
      </w:rPr>
      <w:fldChar w:fldCharType="end"/>
    </w:r>
    <w:r w:rsidRPr="00973148">
      <w:rPr>
        <w:sz w:val="22"/>
        <w:szCs w:val="22"/>
      </w:rPr>
      <w:t xml:space="preserve"> of </w:t>
    </w:r>
    <w:r w:rsidR="000A01F5" w:rsidRPr="00973148">
      <w:rPr>
        <w:sz w:val="22"/>
        <w:szCs w:val="22"/>
      </w:rPr>
      <w:fldChar w:fldCharType="begin"/>
    </w:r>
    <w:r w:rsidR="000A01F5" w:rsidRPr="00973148">
      <w:rPr>
        <w:sz w:val="22"/>
        <w:szCs w:val="22"/>
      </w:rPr>
      <w:instrText xml:space="preserve"> NUMPAGES </w:instrText>
    </w:r>
    <w:r w:rsidR="000A01F5" w:rsidRPr="00973148">
      <w:rPr>
        <w:sz w:val="22"/>
        <w:szCs w:val="22"/>
      </w:rPr>
      <w:fldChar w:fldCharType="separate"/>
    </w:r>
    <w:r w:rsidR="008737F9">
      <w:rPr>
        <w:noProof/>
        <w:sz w:val="22"/>
        <w:szCs w:val="22"/>
      </w:rPr>
      <w:t>7</w:t>
    </w:r>
    <w:r w:rsidR="000A01F5" w:rsidRPr="00973148">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A22" w:rsidRDefault="00826A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6B2" w:rsidRDefault="009746B2">
      <w:r>
        <w:separator/>
      </w:r>
    </w:p>
  </w:footnote>
  <w:footnote w:type="continuationSeparator" w:id="0">
    <w:p w:rsidR="009746B2" w:rsidRDefault="00974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A22" w:rsidRDefault="008737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36354" o:spid="_x0000_s2050" type="#_x0000_t136" style="position:absolute;margin-left:0;margin-top:0;width:516.75pt;height:193.75pt;rotation:315;z-index:-25165516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303BD3" w:rsidRDefault="008737F9" w:rsidP="00303BD3">
    <w:pPr>
      <w:pStyle w:val="Header"/>
      <w:pBdr>
        <w:bottom w:val="single" w:sz="4" w:space="1" w:color="auto"/>
      </w:pBdr>
      <w:spacing w:after="240"/>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36355" o:spid="_x0000_s2051" type="#_x0000_t136" style="position:absolute;left:0;text-align:left;margin-left:0;margin-top:0;width:516.75pt;height:193.75pt;rotation:315;z-index:-25165312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6A46D3" w:rsidRPr="00303BD3">
      <w:rPr>
        <w:b/>
        <w:caps/>
        <w:sz w:val="22"/>
        <w:szCs w:val="22"/>
      </w:rPr>
      <w:t>Statement of Basis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A22" w:rsidRDefault="008737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36353" o:spid="_x0000_s2049" type="#_x0000_t136" style="position:absolute;margin-left:0;margin-top:0;width:516.75pt;height:193.75pt;rotation:315;z-index:-2516572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C3B86"/>
    <w:multiLevelType w:val="hybridMultilevel"/>
    <w:tmpl w:val="03F4E4BC"/>
    <w:lvl w:ilvl="0" w:tplc="84983B32">
      <w:start w:val="1"/>
      <w:numFmt w:val="lowerLetter"/>
      <w:lvlText w:val="%1."/>
      <w:lvlJc w:val="left"/>
      <w:pPr>
        <w:tabs>
          <w:tab w:val="num" w:pos="1800"/>
        </w:tabs>
        <w:ind w:left="1800" w:hanging="360"/>
      </w:pPr>
      <w:rPr>
        <w:rFonts w:hint="default"/>
        <w:b w:val="0"/>
        <w:u w:val="none"/>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 w15:restartNumberingAfterBreak="0">
    <w:nsid w:val="1C7E4D66"/>
    <w:multiLevelType w:val="hybridMultilevel"/>
    <w:tmpl w:val="ED9E6CAC"/>
    <w:lvl w:ilvl="0" w:tplc="74AEB7CA">
      <w:start w:val="15"/>
      <w:numFmt w:val="decimal"/>
      <w:lvlText w:val="D.%1."/>
      <w:lvlJc w:val="left"/>
      <w:pPr>
        <w:tabs>
          <w:tab w:val="num" w:pos="720"/>
        </w:tabs>
        <w:ind w:left="720" w:firstLine="0"/>
      </w:pPr>
      <w:rPr>
        <w:rFonts w:ascii="Times New Roman" w:hAnsi="Times New Roman" w:cs="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4DB2334"/>
    <w:multiLevelType w:val="hybridMultilevel"/>
    <w:tmpl w:val="8AB4A24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071219"/>
    <w:multiLevelType w:val="hybridMultilevel"/>
    <w:tmpl w:val="1EA645CE"/>
    <w:lvl w:ilvl="0" w:tplc="E7BA551A">
      <w:start w:val="39"/>
      <w:numFmt w:val="decimal"/>
      <w:lvlText w:val="D.%1."/>
      <w:lvlJc w:val="left"/>
      <w:pPr>
        <w:tabs>
          <w:tab w:val="num" w:pos="360"/>
        </w:tabs>
        <w:ind w:left="360" w:firstLine="0"/>
      </w:pPr>
      <w:rPr>
        <w:rFonts w:ascii="Times New Roman" w:hAnsi="Times New Roman" w:cs="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7E5373"/>
    <w:multiLevelType w:val="hybridMultilevel"/>
    <w:tmpl w:val="4D8688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611FCC"/>
    <w:multiLevelType w:val="hybridMultilevel"/>
    <w:tmpl w:val="3E64F61A"/>
    <w:lvl w:ilvl="0" w:tplc="D56292A6">
      <w:start w:val="9"/>
      <w:numFmt w:val="decimal"/>
      <w:lvlText w:val="D.%1."/>
      <w:lvlJc w:val="left"/>
      <w:pPr>
        <w:tabs>
          <w:tab w:val="num" w:pos="360"/>
        </w:tabs>
        <w:ind w:left="360" w:firstLine="0"/>
      </w:pPr>
      <w:rPr>
        <w:rFonts w:ascii="Times New Roman" w:hAnsi="Times New Roman" w:cs="Times New Roman" w:hint="default"/>
        <w:b/>
        <w:i w:val="0"/>
        <w:dstrike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591B00"/>
    <w:multiLevelType w:val="hybridMultilevel"/>
    <w:tmpl w:val="0FBE6E4E"/>
    <w:lvl w:ilvl="0" w:tplc="4EC2C648">
      <w:start w:val="26"/>
      <w:numFmt w:val="decimal"/>
      <w:lvlText w:val="D.%1."/>
      <w:lvlJc w:val="left"/>
      <w:pPr>
        <w:tabs>
          <w:tab w:val="num" w:pos="720"/>
        </w:tabs>
        <w:ind w:left="720" w:firstLine="0"/>
      </w:pPr>
      <w:rPr>
        <w:rFonts w:ascii="Times New Roman" w:hAnsi="Times New Roman" w:cs="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1C2248"/>
    <w:multiLevelType w:val="hybridMultilevel"/>
    <w:tmpl w:val="CE949CEC"/>
    <w:lvl w:ilvl="0" w:tplc="04090019">
      <w:start w:val="1"/>
      <w:numFmt w:val="lowerLetter"/>
      <w:lvlText w:val="%1."/>
      <w:lvlJc w:val="left"/>
      <w:pPr>
        <w:ind w:left="1080" w:hanging="360"/>
      </w:pPr>
    </w:lvl>
    <w:lvl w:ilvl="1" w:tplc="DE1C7374">
      <w:start w:val="1"/>
      <w:numFmt w:val="decimal"/>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CA5526"/>
    <w:multiLevelType w:val="hybridMultilevel"/>
    <w:tmpl w:val="CDCEED04"/>
    <w:lvl w:ilvl="0" w:tplc="C96EF7F2">
      <w:start w:val="32"/>
      <w:numFmt w:val="decimal"/>
      <w:lvlText w:val="D.%1."/>
      <w:lvlJc w:val="left"/>
      <w:pPr>
        <w:tabs>
          <w:tab w:val="num" w:pos="360"/>
        </w:tabs>
        <w:ind w:left="360" w:firstLine="0"/>
      </w:pPr>
      <w:rPr>
        <w:rFonts w:ascii="Times New Roman" w:hAnsi="Times New Roman" w:cs="Times New Roman" w:hint="default"/>
        <w:b/>
        <w:i w:val="0"/>
        <w:dstrike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CE5CA3"/>
    <w:multiLevelType w:val="hybridMultilevel"/>
    <w:tmpl w:val="46187BA6"/>
    <w:lvl w:ilvl="0" w:tplc="082AADA8">
      <w:start w:val="1"/>
      <w:numFmt w:val="decimal"/>
      <w:lvlText w:val="D.%1."/>
      <w:lvlJc w:val="left"/>
      <w:pPr>
        <w:tabs>
          <w:tab w:val="num" w:pos="360"/>
        </w:tabs>
        <w:ind w:left="360" w:firstLine="0"/>
      </w:pPr>
      <w:rPr>
        <w:rFonts w:ascii="Times New Roman" w:hAnsi="Times New Roman" w:cs="Times New Roman" w:hint="default"/>
        <w:b/>
        <w:i w:val="0"/>
        <w:dstrike w:val="0"/>
        <w:sz w:val="22"/>
      </w:rPr>
    </w:lvl>
    <w:lvl w:ilvl="1" w:tplc="3E525076">
      <w:start w:val="1"/>
      <w:numFmt w:val="lowerLetter"/>
      <w:lvlText w:val="%2."/>
      <w:lvlJc w:val="left"/>
      <w:pPr>
        <w:tabs>
          <w:tab w:val="num" w:pos="1800"/>
        </w:tabs>
        <w:ind w:left="1800" w:hanging="360"/>
      </w:pPr>
      <w:rPr>
        <w:rFonts w:hint="default"/>
        <w:b/>
        <w:i w:val="0"/>
        <w:dstrike w:val="0"/>
        <w:sz w:val="22"/>
        <w:u w:val="single"/>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6401F6E"/>
    <w:multiLevelType w:val="hybridMultilevel"/>
    <w:tmpl w:val="98F80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772947"/>
    <w:multiLevelType w:val="hybridMultilevel"/>
    <w:tmpl w:val="86E6A9EA"/>
    <w:lvl w:ilvl="0" w:tplc="28826CD6">
      <w:start w:val="13"/>
      <w:numFmt w:val="decimal"/>
      <w:lvlText w:val="D.%1."/>
      <w:lvlJc w:val="left"/>
      <w:pPr>
        <w:tabs>
          <w:tab w:val="num" w:pos="360"/>
        </w:tabs>
        <w:ind w:left="360" w:firstLine="0"/>
      </w:pPr>
      <w:rPr>
        <w:rFonts w:ascii="Times New Roman" w:hAnsi="Times New Roman" w:cs="Times New Roman" w:hint="default"/>
        <w:b/>
        <w:i w:val="0"/>
        <w:dstrike w:val="0"/>
        <w:sz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5" w15:restartNumberingAfterBreak="0">
    <w:nsid w:val="6F031BC5"/>
    <w:multiLevelType w:val="hybridMultilevel"/>
    <w:tmpl w:val="06BCAE04"/>
    <w:lvl w:ilvl="0" w:tplc="FC7A7F80">
      <w:start w:val="32"/>
      <w:numFmt w:val="decimal"/>
      <w:lvlText w:val="D.%1."/>
      <w:lvlJc w:val="left"/>
      <w:pPr>
        <w:tabs>
          <w:tab w:val="num" w:pos="360"/>
        </w:tabs>
        <w:ind w:left="360" w:firstLine="0"/>
      </w:pPr>
      <w:rPr>
        <w:rFonts w:ascii="Times New Roman" w:hAnsi="Times New Roman" w:cs="Times New Roman" w:hint="default"/>
        <w:b/>
        <w:i w:val="0"/>
        <w:dstrike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6"/>
  </w:num>
  <w:num w:numId="4">
    <w:abstractNumId w:val="1"/>
  </w:num>
  <w:num w:numId="5">
    <w:abstractNumId w:val="6"/>
  </w:num>
  <w:num w:numId="6">
    <w:abstractNumId w:val="13"/>
  </w:num>
  <w:num w:numId="7">
    <w:abstractNumId w:val="11"/>
  </w:num>
  <w:num w:numId="8">
    <w:abstractNumId w:val="0"/>
  </w:num>
  <w:num w:numId="9">
    <w:abstractNumId w:val="7"/>
  </w:num>
  <w:num w:numId="10">
    <w:abstractNumId w:val="4"/>
  </w:num>
  <w:num w:numId="11">
    <w:abstractNumId w:val="14"/>
  </w:num>
  <w:num w:numId="12">
    <w:abstractNumId w:val="2"/>
  </w:num>
  <w:num w:numId="13">
    <w:abstractNumId w:val="8"/>
  </w:num>
  <w:num w:numId="14">
    <w:abstractNumId w:val="10"/>
  </w:num>
  <w:num w:numId="15">
    <w:abstractNumId w:val="1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5D3D"/>
    <w:rsid w:val="0007172E"/>
    <w:rsid w:val="0008454F"/>
    <w:rsid w:val="0008519C"/>
    <w:rsid w:val="000905AE"/>
    <w:rsid w:val="00091029"/>
    <w:rsid w:val="000A01F5"/>
    <w:rsid w:val="000B6156"/>
    <w:rsid w:val="000C4ABF"/>
    <w:rsid w:val="000D515A"/>
    <w:rsid w:val="000E08FB"/>
    <w:rsid w:val="000E0D08"/>
    <w:rsid w:val="000E220C"/>
    <w:rsid w:val="000F091B"/>
    <w:rsid w:val="000F486E"/>
    <w:rsid w:val="00104A90"/>
    <w:rsid w:val="00105BAC"/>
    <w:rsid w:val="001154F6"/>
    <w:rsid w:val="001303AD"/>
    <w:rsid w:val="00130CF5"/>
    <w:rsid w:val="00135BCE"/>
    <w:rsid w:val="00154B9E"/>
    <w:rsid w:val="00174CFF"/>
    <w:rsid w:val="00175AB5"/>
    <w:rsid w:val="0017601D"/>
    <w:rsid w:val="00180EF2"/>
    <w:rsid w:val="001903A9"/>
    <w:rsid w:val="00195BB6"/>
    <w:rsid w:val="001A012B"/>
    <w:rsid w:val="001A543A"/>
    <w:rsid w:val="001A6BD7"/>
    <w:rsid w:val="001D43F6"/>
    <w:rsid w:val="001E46FC"/>
    <w:rsid w:val="00201A34"/>
    <w:rsid w:val="002020AB"/>
    <w:rsid w:val="002062FB"/>
    <w:rsid w:val="00224D77"/>
    <w:rsid w:val="0023588C"/>
    <w:rsid w:val="002367B2"/>
    <w:rsid w:val="00237FD2"/>
    <w:rsid w:val="002403D3"/>
    <w:rsid w:val="00256874"/>
    <w:rsid w:val="00262BE9"/>
    <w:rsid w:val="00285D32"/>
    <w:rsid w:val="00296F0E"/>
    <w:rsid w:val="002A0FC3"/>
    <w:rsid w:val="002B0F67"/>
    <w:rsid w:val="002B1F05"/>
    <w:rsid w:val="002C29EA"/>
    <w:rsid w:val="002C32CC"/>
    <w:rsid w:val="002C3AA5"/>
    <w:rsid w:val="002C6C85"/>
    <w:rsid w:val="002E2414"/>
    <w:rsid w:val="002E61AB"/>
    <w:rsid w:val="002F1914"/>
    <w:rsid w:val="002F7CEE"/>
    <w:rsid w:val="003033CE"/>
    <w:rsid w:val="00303BD3"/>
    <w:rsid w:val="00311C2E"/>
    <w:rsid w:val="00313943"/>
    <w:rsid w:val="00320696"/>
    <w:rsid w:val="00334BE8"/>
    <w:rsid w:val="00337788"/>
    <w:rsid w:val="0034625E"/>
    <w:rsid w:val="00346EFE"/>
    <w:rsid w:val="00356132"/>
    <w:rsid w:val="00375C62"/>
    <w:rsid w:val="003944C8"/>
    <w:rsid w:val="003A056C"/>
    <w:rsid w:val="003A786A"/>
    <w:rsid w:val="003B271E"/>
    <w:rsid w:val="003B3BF2"/>
    <w:rsid w:val="003B6C60"/>
    <w:rsid w:val="003C6E0C"/>
    <w:rsid w:val="003D49F1"/>
    <w:rsid w:val="003D6B9F"/>
    <w:rsid w:val="003E1AC9"/>
    <w:rsid w:val="003E51A0"/>
    <w:rsid w:val="004036E2"/>
    <w:rsid w:val="00404F80"/>
    <w:rsid w:val="004140A9"/>
    <w:rsid w:val="004222B6"/>
    <w:rsid w:val="00424615"/>
    <w:rsid w:val="00434028"/>
    <w:rsid w:val="00457342"/>
    <w:rsid w:val="00470681"/>
    <w:rsid w:val="0047196E"/>
    <w:rsid w:val="00472C59"/>
    <w:rsid w:val="00474578"/>
    <w:rsid w:val="0048054A"/>
    <w:rsid w:val="004839BF"/>
    <w:rsid w:val="004B5457"/>
    <w:rsid w:val="004C0EB9"/>
    <w:rsid w:val="004C5B64"/>
    <w:rsid w:val="004C68C3"/>
    <w:rsid w:val="004E0100"/>
    <w:rsid w:val="004E1AC5"/>
    <w:rsid w:val="004E4E62"/>
    <w:rsid w:val="004E561B"/>
    <w:rsid w:val="004E7873"/>
    <w:rsid w:val="004F272C"/>
    <w:rsid w:val="005055D4"/>
    <w:rsid w:val="005178AF"/>
    <w:rsid w:val="00520C8A"/>
    <w:rsid w:val="0053445F"/>
    <w:rsid w:val="00543CB4"/>
    <w:rsid w:val="0057507D"/>
    <w:rsid w:val="00577FA4"/>
    <w:rsid w:val="0058126B"/>
    <w:rsid w:val="00583907"/>
    <w:rsid w:val="00590CE6"/>
    <w:rsid w:val="005967DB"/>
    <w:rsid w:val="00597CED"/>
    <w:rsid w:val="005A0360"/>
    <w:rsid w:val="005A09D6"/>
    <w:rsid w:val="005C14A9"/>
    <w:rsid w:val="005E030C"/>
    <w:rsid w:val="005F01AB"/>
    <w:rsid w:val="005F1A65"/>
    <w:rsid w:val="005F49A2"/>
    <w:rsid w:val="0060439F"/>
    <w:rsid w:val="00637766"/>
    <w:rsid w:val="006415CB"/>
    <w:rsid w:val="00655675"/>
    <w:rsid w:val="00662055"/>
    <w:rsid w:val="0067118D"/>
    <w:rsid w:val="00672C8B"/>
    <w:rsid w:val="006764F6"/>
    <w:rsid w:val="00680290"/>
    <w:rsid w:val="00692F44"/>
    <w:rsid w:val="00695DAF"/>
    <w:rsid w:val="006A2B1B"/>
    <w:rsid w:val="006A46D3"/>
    <w:rsid w:val="006B71AB"/>
    <w:rsid w:val="006C27F9"/>
    <w:rsid w:val="006C625D"/>
    <w:rsid w:val="006D6CF7"/>
    <w:rsid w:val="006D7B49"/>
    <w:rsid w:val="006E3628"/>
    <w:rsid w:val="006F4B83"/>
    <w:rsid w:val="006F56CD"/>
    <w:rsid w:val="00716246"/>
    <w:rsid w:val="007313C9"/>
    <w:rsid w:val="00736875"/>
    <w:rsid w:val="00737720"/>
    <w:rsid w:val="00761240"/>
    <w:rsid w:val="00770A31"/>
    <w:rsid w:val="00790D28"/>
    <w:rsid w:val="007B5BF7"/>
    <w:rsid w:val="007E330B"/>
    <w:rsid w:val="007E5F48"/>
    <w:rsid w:val="007F018F"/>
    <w:rsid w:val="007F0476"/>
    <w:rsid w:val="007F0EFF"/>
    <w:rsid w:val="007F3DC2"/>
    <w:rsid w:val="007F6193"/>
    <w:rsid w:val="008200E1"/>
    <w:rsid w:val="00826A22"/>
    <w:rsid w:val="00826D62"/>
    <w:rsid w:val="00841C34"/>
    <w:rsid w:val="008570ED"/>
    <w:rsid w:val="00862A99"/>
    <w:rsid w:val="008737F9"/>
    <w:rsid w:val="00875974"/>
    <w:rsid w:val="00883EE3"/>
    <w:rsid w:val="008876D6"/>
    <w:rsid w:val="00895CDB"/>
    <w:rsid w:val="00896BAE"/>
    <w:rsid w:val="008A76C6"/>
    <w:rsid w:val="008C669C"/>
    <w:rsid w:val="008C722A"/>
    <w:rsid w:val="008D7054"/>
    <w:rsid w:val="008E4B8E"/>
    <w:rsid w:val="008E5304"/>
    <w:rsid w:val="008E71C1"/>
    <w:rsid w:val="008F14CD"/>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3148"/>
    <w:rsid w:val="009746B2"/>
    <w:rsid w:val="00975057"/>
    <w:rsid w:val="00975804"/>
    <w:rsid w:val="009A37B2"/>
    <w:rsid w:val="009A64C4"/>
    <w:rsid w:val="009C4E7E"/>
    <w:rsid w:val="009C5390"/>
    <w:rsid w:val="009C73A1"/>
    <w:rsid w:val="009D589A"/>
    <w:rsid w:val="009F3614"/>
    <w:rsid w:val="009F3776"/>
    <w:rsid w:val="00A24D2E"/>
    <w:rsid w:val="00A5551F"/>
    <w:rsid w:val="00A57662"/>
    <w:rsid w:val="00A8180D"/>
    <w:rsid w:val="00A84B14"/>
    <w:rsid w:val="00A86331"/>
    <w:rsid w:val="00A910E5"/>
    <w:rsid w:val="00A9654B"/>
    <w:rsid w:val="00AA3E74"/>
    <w:rsid w:val="00AA4348"/>
    <w:rsid w:val="00AC0FF0"/>
    <w:rsid w:val="00AC1A39"/>
    <w:rsid w:val="00AC233F"/>
    <w:rsid w:val="00AC3A51"/>
    <w:rsid w:val="00AD3204"/>
    <w:rsid w:val="00AE14FE"/>
    <w:rsid w:val="00AE7C88"/>
    <w:rsid w:val="00AF5AAE"/>
    <w:rsid w:val="00B10B7E"/>
    <w:rsid w:val="00B124B7"/>
    <w:rsid w:val="00B15B2C"/>
    <w:rsid w:val="00B475BB"/>
    <w:rsid w:val="00B5179A"/>
    <w:rsid w:val="00B657B6"/>
    <w:rsid w:val="00B77FAC"/>
    <w:rsid w:val="00B8748E"/>
    <w:rsid w:val="00BA2972"/>
    <w:rsid w:val="00BA5B55"/>
    <w:rsid w:val="00BA5BDC"/>
    <w:rsid w:val="00BA71D8"/>
    <w:rsid w:val="00BB1149"/>
    <w:rsid w:val="00BE39A5"/>
    <w:rsid w:val="00BF2A47"/>
    <w:rsid w:val="00BF67A2"/>
    <w:rsid w:val="00C012AC"/>
    <w:rsid w:val="00C02A65"/>
    <w:rsid w:val="00C02FD1"/>
    <w:rsid w:val="00C14504"/>
    <w:rsid w:val="00C14FE9"/>
    <w:rsid w:val="00C26E64"/>
    <w:rsid w:val="00C63B15"/>
    <w:rsid w:val="00C63FF3"/>
    <w:rsid w:val="00C65C0C"/>
    <w:rsid w:val="00C705ED"/>
    <w:rsid w:val="00C708DE"/>
    <w:rsid w:val="00C83D4A"/>
    <w:rsid w:val="00C85D82"/>
    <w:rsid w:val="00CA46A3"/>
    <w:rsid w:val="00CB1833"/>
    <w:rsid w:val="00CB7992"/>
    <w:rsid w:val="00CC6C34"/>
    <w:rsid w:val="00CD2133"/>
    <w:rsid w:val="00CD30E4"/>
    <w:rsid w:val="00CD46DF"/>
    <w:rsid w:val="00CD4A6E"/>
    <w:rsid w:val="00CF5922"/>
    <w:rsid w:val="00D05153"/>
    <w:rsid w:val="00D10365"/>
    <w:rsid w:val="00D17BFF"/>
    <w:rsid w:val="00D31F34"/>
    <w:rsid w:val="00D33AB2"/>
    <w:rsid w:val="00D33B1E"/>
    <w:rsid w:val="00D35A40"/>
    <w:rsid w:val="00D61CA6"/>
    <w:rsid w:val="00D76630"/>
    <w:rsid w:val="00D94144"/>
    <w:rsid w:val="00DB5544"/>
    <w:rsid w:val="00DD00B6"/>
    <w:rsid w:val="00DD6725"/>
    <w:rsid w:val="00DE070C"/>
    <w:rsid w:val="00DE3976"/>
    <w:rsid w:val="00E1635C"/>
    <w:rsid w:val="00E2295A"/>
    <w:rsid w:val="00E3411C"/>
    <w:rsid w:val="00E377C1"/>
    <w:rsid w:val="00E41440"/>
    <w:rsid w:val="00E53AA3"/>
    <w:rsid w:val="00E81556"/>
    <w:rsid w:val="00E83177"/>
    <w:rsid w:val="00E834BD"/>
    <w:rsid w:val="00E964E6"/>
    <w:rsid w:val="00EB7E4F"/>
    <w:rsid w:val="00EC59C3"/>
    <w:rsid w:val="00ED3413"/>
    <w:rsid w:val="00ED5712"/>
    <w:rsid w:val="00ED7336"/>
    <w:rsid w:val="00EF0FE9"/>
    <w:rsid w:val="00EF5956"/>
    <w:rsid w:val="00F00468"/>
    <w:rsid w:val="00F00567"/>
    <w:rsid w:val="00F04A72"/>
    <w:rsid w:val="00F338F5"/>
    <w:rsid w:val="00F40F40"/>
    <w:rsid w:val="00F4128E"/>
    <w:rsid w:val="00F52056"/>
    <w:rsid w:val="00F57C83"/>
    <w:rsid w:val="00F637B0"/>
    <w:rsid w:val="00F6587D"/>
    <w:rsid w:val="00F724C2"/>
    <w:rsid w:val="00F87CD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hapeDefaults>
    <o:shapedefaults v:ext="edit" spidmax="2052"/>
    <o:shapelayout v:ext="edit">
      <o:idmap v:ext="edit" data="1"/>
    </o:shapelayout>
  </w:shapeDefaults>
  <w:decimalSymbol w:val="."/>
  <w:listSeparator w:val=","/>
  <w15:docId w15:val="{CAF60C76-1A49-4B94-8BAC-B93EB1103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97314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character" w:customStyle="1" w:styleId="Heading2Char">
    <w:name w:val="Heading 2 Char"/>
    <w:basedOn w:val="DefaultParagraphFont"/>
    <w:link w:val="Heading2"/>
    <w:semiHidden/>
    <w:rsid w:val="00973148"/>
    <w:rPr>
      <w:rFonts w:asciiTheme="majorHAnsi" w:eastAsiaTheme="majorEastAsia" w:hAnsiTheme="majorHAnsi" w:cstheme="majorBidi"/>
      <w:color w:val="365F91" w:themeColor="accent1" w:themeShade="BF"/>
      <w:sz w:val="26"/>
      <w:szCs w:val="26"/>
    </w:rPr>
  </w:style>
  <w:style w:type="paragraph" w:styleId="BodyText3">
    <w:name w:val="Body Text 3"/>
    <w:basedOn w:val="Normal"/>
    <w:link w:val="BodyText3Char"/>
    <w:rsid w:val="00973148"/>
    <w:pPr>
      <w:spacing w:after="120"/>
    </w:pPr>
    <w:rPr>
      <w:sz w:val="16"/>
      <w:szCs w:val="16"/>
    </w:rPr>
  </w:style>
  <w:style w:type="character" w:customStyle="1" w:styleId="BodyText3Char">
    <w:name w:val="Body Text 3 Char"/>
    <w:basedOn w:val="DefaultParagraphFont"/>
    <w:link w:val="BodyText3"/>
    <w:rsid w:val="00973148"/>
    <w:rPr>
      <w:sz w:val="16"/>
      <w:szCs w:val="16"/>
    </w:rPr>
  </w:style>
  <w:style w:type="paragraph" w:styleId="ListParagraph">
    <w:name w:val="List Paragraph"/>
    <w:basedOn w:val="Normal"/>
    <w:uiPriority w:val="34"/>
    <w:qFormat/>
    <w:rsid w:val="00BB11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93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7</Pages>
  <Words>3271</Words>
  <Characters>17829</Characters>
  <Application>Microsoft Office Word</Application>
  <DocSecurity>0</DocSecurity>
  <Lines>274</Lines>
  <Paragraphs>113</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20987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Jon Holtom</dc:creator>
  <cp:lastModifiedBy>Read, David</cp:lastModifiedBy>
  <cp:revision>24</cp:revision>
  <cp:lastPrinted>2009-09-16T17:21:00Z</cp:lastPrinted>
  <dcterms:created xsi:type="dcterms:W3CDTF">2014-09-04T12:19:00Z</dcterms:created>
  <dcterms:modified xsi:type="dcterms:W3CDTF">2016-06-06T19:22:00Z</dcterms:modified>
</cp:coreProperties>
</file>